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184" w:rsidRPr="003872E4" w:rsidRDefault="005909C6" w:rsidP="001E2184">
      <w:pPr>
        <w:jc w:val="center"/>
        <w:rPr>
          <w:rStyle w:val="Titelvanboek"/>
          <w:sz w:val="32"/>
        </w:rPr>
      </w:pPr>
      <w:r w:rsidRPr="003872E4">
        <w:rPr>
          <w:rStyle w:val="Titelvanboek"/>
          <w:sz w:val="32"/>
        </w:rPr>
        <w:t xml:space="preserve">Openingszitting Vlaams Pleitgenootschap </w:t>
      </w:r>
    </w:p>
    <w:p w:rsidR="006E6778" w:rsidRPr="003872E4" w:rsidRDefault="005909C6" w:rsidP="001E2184">
      <w:pPr>
        <w:jc w:val="center"/>
        <w:rPr>
          <w:rStyle w:val="Titelvanboek"/>
          <w:sz w:val="32"/>
        </w:rPr>
      </w:pPr>
      <w:r w:rsidRPr="003872E4">
        <w:rPr>
          <w:rStyle w:val="Titelvanboek"/>
          <w:sz w:val="32"/>
        </w:rPr>
        <w:t>23 november 2018</w:t>
      </w:r>
    </w:p>
    <w:p w:rsidR="006E6778" w:rsidRPr="003872E4" w:rsidRDefault="006E6778" w:rsidP="001E2184">
      <w:pPr>
        <w:jc w:val="center"/>
        <w:rPr>
          <w:rStyle w:val="Titelvanboek"/>
          <w:sz w:val="32"/>
        </w:rPr>
      </w:pPr>
    </w:p>
    <w:p w:rsidR="006E6778" w:rsidRPr="003872E4" w:rsidRDefault="006E6778" w:rsidP="001E2184">
      <w:pPr>
        <w:jc w:val="center"/>
        <w:rPr>
          <w:rStyle w:val="Titelvanboek"/>
          <w:sz w:val="32"/>
        </w:rPr>
      </w:pPr>
      <w:r w:rsidRPr="003872E4">
        <w:rPr>
          <w:rStyle w:val="Titelvanboek"/>
          <w:sz w:val="32"/>
        </w:rPr>
        <w:t>Conclusie van stafhouder Peter Callens</w:t>
      </w:r>
    </w:p>
    <w:p w:rsidR="006E6778" w:rsidRPr="003872E4" w:rsidRDefault="006E6778" w:rsidP="001E2184">
      <w:pPr>
        <w:jc w:val="center"/>
        <w:rPr>
          <w:rStyle w:val="Titelvanboek"/>
          <w:sz w:val="32"/>
        </w:rPr>
      </w:pPr>
    </w:p>
    <w:p w:rsidR="00934319" w:rsidRPr="003872E4" w:rsidRDefault="00934319" w:rsidP="003558E1">
      <w:pPr>
        <w:rPr>
          <w:sz w:val="32"/>
        </w:rPr>
      </w:pPr>
    </w:p>
    <w:p w:rsidR="009B1DD4" w:rsidRDefault="009B1DD4" w:rsidP="003558E1">
      <w:pPr>
        <w:rPr>
          <w:sz w:val="32"/>
        </w:rPr>
      </w:pPr>
      <w:r>
        <w:rPr>
          <w:sz w:val="32"/>
        </w:rPr>
        <w:t>Mijnheer de eerste voorzitter van het hof van beroep,</w:t>
      </w:r>
    </w:p>
    <w:p w:rsidR="009B1DD4" w:rsidRDefault="009B1DD4" w:rsidP="003558E1">
      <w:pPr>
        <w:rPr>
          <w:sz w:val="32"/>
        </w:rPr>
      </w:pPr>
      <w:r>
        <w:rPr>
          <w:sz w:val="32"/>
        </w:rPr>
        <w:t>Dames en heren voorzitters van de rechtbanken van eerste aanleg, de arbeidsrechtbank en de ondernemingsrechtbank,</w:t>
      </w:r>
    </w:p>
    <w:p w:rsidR="000F11F5" w:rsidRDefault="009B1DD4" w:rsidP="003558E1">
      <w:pPr>
        <w:rPr>
          <w:sz w:val="32"/>
        </w:rPr>
      </w:pPr>
      <w:r>
        <w:rPr>
          <w:sz w:val="32"/>
        </w:rPr>
        <w:t>Dames en heren magistraten</w:t>
      </w:r>
      <w:r w:rsidR="000F11F5" w:rsidRPr="003872E4">
        <w:rPr>
          <w:sz w:val="32"/>
        </w:rPr>
        <w:t xml:space="preserve"> in al uw hoedanigheden,</w:t>
      </w:r>
    </w:p>
    <w:p w:rsidR="009B1DD4" w:rsidRDefault="009B1DD4" w:rsidP="003558E1">
      <w:pPr>
        <w:rPr>
          <w:sz w:val="32"/>
        </w:rPr>
      </w:pPr>
      <w:r>
        <w:rPr>
          <w:sz w:val="32"/>
        </w:rPr>
        <w:t>Dames en heren stafhouders,</w:t>
      </w:r>
    </w:p>
    <w:p w:rsidR="009B1DD4" w:rsidRDefault="009B1DD4" w:rsidP="003558E1">
      <w:pPr>
        <w:rPr>
          <w:sz w:val="32"/>
        </w:rPr>
      </w:pPr>
      <w:r>
        <w:rPr>
          <w:sz w:val="32"/>
        </w:rPr>
        <w:t>Dames en heren bestuurders van de Orde van Vlaamse Balies,</w:t>
      </w:r>
    </w:p>
    <w:p w:rsidR="009B1DD4" w:rsidRDefault="009B1DD4" w:rsidP="003558E1">
      <w:pPr>
        <w:rPr>
          <w:sz w:val="32"/>
        </w:rPr>
      </w:pPr>
      <w:r>
        <w:rPr>
          <w:sz w:val="32"/>
        </w:rPr>
        <w:t>Hooggeachte en geachte confraters,</w:t>
      </w:r>
    </w:p>
    <w:p w:rsidR="009B1DD4" w:rsidRDefault="009B1DD4" w:rsidP="003558E1">
      <w:pPr>
        <w:rPr>
          <w:sz w:val="32"/>
        </w:rPr>
      </w:pPr>
      <w:r>
        <w:rPr>
          <w:sz w:val="32"/>
        </w:rPr>
        <w:t>Dames en heren,</w:t>
      </w:r>
    </w:p>
    <w:p w:rsidR="009B1DD4" w:rsidRDefault="009B1DD4" w:rsidP="003558E1">
      <w:pPr>
        <w:rPr>
          <w:sz w:val="32"/>
        </w:rPr>
      </w:pPr>
    </w:p>
    <w:p w:rsidR="009B1DD4" w:rsidRDefault="009B1DD4" w:rsidP="003558E1">
      <w:pPr>
        <w:rPr>
          <w:sz w:val="32"/>
        </w:rPr>
      </w:pPr>
      <w:r>
        <w:rPr>
          <w:sz w:val="32"/>
        </w:rPr>
        <w:t>Mijnheer de voorzitter,</w:t>
      </w:r>
    </w:p>
    <w:p w:rsidR="009B1DD4" w:rsidRPr="003872E4" w:rsidRDefault="009B1DD4" w:rsidP="003558E1">
      <w:pPr>
        <w:rPr>
          <w:sz w:val="32"/>
        </w:rPr>
      </w:pPr>
      <w:r>
        <w:rPr>
          <w:sz w:val="32"/>
        </w:rPr>
        <w:t>Mijnheer de openingsredenaar,</w:t>
      </w:r>
    </w:p>
    <w:p w:rsidR="000F11F5" w:rsidRPr="003872E4" w:rsidRDefault="000F11F5" w:rsidP="003558E1">
      <w:pPr>
        <w:rPr>
          <w:sz w:val="32"/>
        </w:rPr>
      </w:pPr>
    </w:p>
    <w:p w:rsidR="00E338F8" w:rsidRPr="003872E4" w:rsidRDefault="0078622A" w:rsidP="003558E1">
      <w:pPr>
        <w:rPr>
          <w:sz w:val="32"/>
        </w:rPr>
      </w:pPr>
      <w:r w:rsidRPr="003872E4">
        <w:rPr>
          <w:sz w:val="32"/>
        </w:rPr>
        <w:t xml:space="preserve">Volgens de geplogenheden van de ritus van de openingszitting </w:t>
      </w:r>
      <w:r w:rsidR="00E338F8" w:rsidRPr="003872E4">
        <w:rPr>
          <w:sz w:val="32"/>
        </w:rPr>
        <w:t>mag ik als stafhouder concluderen</w:t>
      </w:r>
      <w:r w:rsidR="0099391A" w:rsidRPr="003872E4">
        <w:rPr>
          <w:sz w:val="32"/>
        </w:rPr>
        <w:t xml:space="preserve"> na de openingsrede en de repliek </w:t>
      </w:r>
      <w:r w:rsidR="00E338F8" w:rsidRPr="003872E4">
        <w:rPr>
          <w:sz w:val="32"/>
        </w:rPr>
        <w:t>en iets zeggen over recente ontwikkelingen die belang hebben voor ons beroep.</w:t>
      </w:r>
    </w:p>
    <w:p w:rsidR="0099391A" w:rsidRPr="003872E4" w:rsidRDefault="0099391A" w:rsidP="003558E1">
      <w:pPr>
        <w:rPr>
          <w:sz w:val="32"/>
        </w:rPr>
      </w:pPr>
    </w:p>
    <w:p w:rsidR="005909C6" w:rsidRPr="003872E4" w:rsidRDefault="00A84180" w:rsidP="003558E1">
      <w:pPr>
        <w:rPr>
          <w:sz w:val="32"/>
        </w:rPr>
      </w:pPr>
      <w:r w:rsidRPr="003872E4">
        <w:rPr>
          <w:sz w:val="32"/>
        </w:rPr>
        <w:t>De conclusie</w:t>
      </w:r>
      <w:r w:rsidR="005909C6" w:rsidRPr="003872E4">
        <w:rPr>
          <w:sz w:val="32"/>
        </w:rPr>
        <w:t xml:space="preserve"> dus</w:t>
      </w:r>
      <w:r w:rsidRPr="003872E4">
        <w:rPr>
          <w:sz w:val="32"/>
        </w:rPr>
        <w:t xml:space="preserve">. </w:t>
      </w:r>
    </w:p>
    <w:p w:rsidR="005909C6" w:rsidRPr="003872E4" w:rsidRDefault="005909C6" w:rsidP="003558E1">
      <w:pPr>
        <w:rPr>
          <w:sz w:val="32"/>
        </w:rPr>
      </w:pPr>
    </w:p>
    <w:p w:rsidR="0099391A" w:rsidRPr="003872E4" w:rsidRDefault="00A84180" w:rsidP="003558E1">
      <w:pPr>
        <w:rPr>
          <w:sz w:val="32"/>
        </w:rPr>
      </w:pPr>
      <w:r w:rsidRPr="003872E4">
        <w:rPr>
          <w:sz w:val="32"/>
        </w:rPr>
        <w:t>Één: de vorm.</w:t>
      </w:r>
      <w:r w:rsidR="0079101F" w:rsidRPr="003872E4">
        <w:rPr>
          <w:sz w:val="32"/>
        </w:rPr>
        <w:t xml:space="preserve"> Als ik het goed begrepen heb verloopt de openingszitting ten aanzien van de stafhouder volgens de vormen van het kort geding, en ten aanzien van de partijen volgens de termijnen die gelden </w:t>
      </w:r>
      <w:r w:rsidR="00CA0A4F" w:rsidRPr="003872E4">
        <w:rPr>
          <w:sz w:val="32"/>
        </w:rPr>
        <w:t>in een rustige bodemprocedure voor het hof van beroep</w:t>
      </w:r>
      <w:r w:rsidR="0070763D" w:rsidRPr="003872E4">
        <w:rPr>
          <w:sz w:val="32"/>
        </w:rPr>
        <w:t xml:space="preserve">. De definitieve tekst van de openingsrede heb ik </w:t>
      </w:r>
      <w:r w:rsidR="00ED0BF8">
        <w:rPr>
          <w:sz w:val="32"/>
        </w:rPr>
        <w:t>gisterenavond</w:t>
      </w:r>
      <w:r w:rsidR="0070763D" w:rsidRPr="003872E4">
        <w:rPr>
          <w:sz w:val="32"/>
        </w:rPr>
        <w:t xml:space="preserve"> gekregen, ik concludeer dus op basis van een ontwerp</w:t>
      </w:r>
      <w:r w:rsidR="00344C15" w:rsidRPr="003872E4">
        <w:rPr>
          <w:sz w:val="32"/>
        </w:rPr>
        <w:t xml:space="preserve"> dat ik </w:t>
      </w:r>
      <w:r w:rsidR="00F71E5C" w:rsidRPr="003872E4">
        <w:rPr>
          <w:sz w:val="32"/>
        </w:rPr>
        <w:t>ongeveer twee weken geleden ontving. Van de repliek van de voorzitter kreeg ik de tekst in ontwerp vorige dinsdag</w:t>
      </w:r>
      <w:r w:rsidR="007903D1" w:rsidRPr="003872E4">
        <w:rPr>
          <w:sz w:val="32"/>
        </w:rPr>
        <w:t xml:space="preserve">avond </w:t>
      </w:r>
      <w:r w:rsidR="0009048C" w:rsidRPr="003872E4">
        <w:rPr>
          <w:sz w:val="32"/>
        </w:rPr>
        <w:t xml:space="preserve">tegen de klok van tien. </w:t>
      </w:r>
      <w:r w:rsidR="000E4AF7" w:rsidRPr="003872E4">
        <w:rPr>
          <w:sz w:val="32"/>
        </w:rPr>
        <w:t xml:space="preserve">Maar goed, </w:t>
      </w:r>
      <w:r w:rsidR="000E4AF7" w:rsidRPr="003872E4">
        <w:rPr>
          <w:i/>
          <w:sz w:val="32"/>
        </w:rPr>
        <w:t>in der Beschränkung zeigt sich der Meister</w:t>
      </w:r>
      <w:r w:rsidR="000E4AF7" w:rsidRPr="003872E4">
        <w:rPr>
          <w:sz w:val="32"/>
        </w:rPr>
        <w:t>, nietwaar?</w:t>
      </w:r>
    </w:p>
    <w:p w:rsidR="00E338F8" w:rsidRPr="003872E4" w:rsidRDefault="00E338F8" w:rsidP="003558E1">
      <w:pPr>
        <w:rPr>
          <w:sz w:val="32"/>
        </w:rPr>
      </w:pPr>
    </w:p>
    <w:p w:rsidR="00577FF6" w:rsidRPr="003872E4" w:rsidRDefault="00176BC8" w:rsidP="003558E1">
      <w:pPr>
        <w:rPr>
          <w:sz w:val="32"/>
        </w:rPr>
      </w:pPr>
      <w:r w:rsidRPr="003872E4">
        <w:rPr>
          <w:sz w:val="32"/>
        </w:rPr>
        <w:t>Twee: de inhoud</w:t>
      </w:r>
      <w:r w:rsidR="00AE287C" w:rsidRPr="003872E4">
        <w:rPr>
          <w:sz w:val="32"/>
        </w:rPr>
        <w:t>. Wat brengt iemand op het idee een openingsrede te houden over het bewijsrecht? Zou het de hitte geweest zijn van de vorige zomer? Of was het, misschien waarschijnlijker</w:t>
      </w:r>
      <w:r w:rsidR="00676EFC" w:rsidRPr="003872E4">
        <w:rPr>
          <w:sz w:val="32"/>
        </w:rPr>
        <w:t xml:space="preserve"> gezien het onderwerp</w:t>
      </w:r>
      <w:r w:rsidR="00AE287C" w:rsidRPr="003872E4">
        <w:rPr>
          <w:sz w:val="32"/>
        </w:rPr>
        <w:t xml:space="preserve">, </w:t>
      </w:r>
      <w:r w:rsidR="000227B6" w:rsidRPr="003872E4">
        <w:rPr>
          <w:sz w:val="32"/>
        </w:rPr>
        <w:t>de grote droogte?</w:t>
      </w:r>
      <w:r w:rsidR="00F70141" w:rsidRPr="003872E4">
        <w:rPr>
          <w:sz w:val="32"/>
        </w:rPr>
        <w:t xml:space="preserve"> Neen, dames en heren, het was geen van beide: het bewijsrecht is namelijk de passie van de redenaar</w:t>
      </w:r>
      <w:r w:rsidR="00374298" w:rsidRPr="003872E4">
        <w:rPr>
          <w:sz w:val="32"/>
        </w:rPr>
        <w:t xml:space="preserve">. Iedereen weet: het is goed in het leven een passie te hebben. Deze van Mr. Samyn is het bewijsrecht. </w:t>
      </w:r>
      <w:r w:rsidR="00374298" w:rsidRPr="003872E4">
        <w:rPr>
          <w:i/>
          <w:sz w:val="32"/>
        </w:rPr>
        <w:t xml:space="preserve">De </w:t>
      </w:r>
      <w:proofErr w:type="spellStart"/>
      <w:r w:rsidR="00374298" w:rsidRPr="003872E4">
        <w:rPr>
          <w:i/>
          <w:sz w:val="32"/>
        </w:rPr>
        <w:t>gustibus</w:t>
      </w:r>
      <w:proofErr w:type="spellEnd"/>
      <w:r w:rsidR="00374298" w:rsidRPr="003872E4">
        <w:rPr>
          <w:i/>
          <w:sz w:val="32"/>
        </w:rPr>
        <w:t xml:space="preserve"> et </w:t>
      </w:r>
      <w:proofErr w:type="spellStart"/>
      <w:r w:rsidR="00374298" w:rsidRPr="003872E4">
        <w:rPr>
          <w:i/>
          <w:sz w:val="32"/>
        </w:rPr>
        <w:t>coloribus</w:t>
      </w:r>
      <w:proofErr w:type="spellEnd"/>
      <w:r w:rsidR="00374298" w:rsidRPr="003872E4">
        <w:rPr>
          <w:i/>
          <w:sz w:val="32"/>
        </w:rPr>
        <w:t xml:space="preserve"> non </w:t>
      </w:r>
      <w:proofErr w:type="spellStart"/>
      <w:r w:rsidR="00374298" w:rsidRPr="003872E4">
        <w:rPr>
          <w:i/>
          <w:sz w:val="32"/>
        </w:rPr>
        <w:t>disputandum</w:t>
      </w:r>
      <w:proofErr w:type="spellEnd"/>
      <w:r w:rsidR="00451538" w:rsidRPr="003872E4">
        <w:rPr>
          <w:sz w:val="32"/>
        </w:rPr>
        <w:t>.</w:t>
      </w:r>
    </w:p>
    <w:p w:rsidR="000227B6" w:rsidRPr="003872E4" w:rsidRDefault="000227B6" w:rsidP="003558E1">
      <w:pPr>
        <w:rPr>
          <w:sz w:val="32"/>
        </w:rPr>
      </w:pPr>
    </w:p>
    <w:p w:rsidR="000227B6" w:rsidRPr="003872E4" w:rsidRDefault="00676EFC" w:rsidP="003558E1">
      <w:pPr>
        <w:rPr>
          <w:sz w:val="32"/>
        </w:rPr>
      </w:pPr>
      <w:r w:rsidRPr="003872E4">
        <w:rPr>
          <w:sz w:val="32"/>
        </w:rPr>
        <w:t xml:space="preserve">Maar goed, </w:t>
      </w:r>
      <w:r w:rsidR="008D1143" w:rsidRPr="003872E4">
        <w:rPr>
          <w:sz w:val="32"/>
        </w:rPr>
        <w:t>u hebt er een g</w:t>
      </w:r>
      <w:r w:rsidR="00194405" w:rsidRPr="003872E4">
        <w:rPr>
          <w:sz w:val="32"/>
        </w:rPr>
        <w:t>edegen werkstuk van gemaakt</w:t>
      </w:r>
      <w:r w:rsidR="008D1143" w:rsidRPr="003872E4">
        <w:rPr>
          <w:sz w:val="32"/>
        </w:rPr>
        <w:t>. En u mijnheer de voorzitter, u</w:t>
      </w:r>
      <w:r w:rsidR="00682881" w:rsidRPr="003872E4">
        <w:rPr>
          <w:sz w:val="32"/>
        </w:rPr>
        <w:t xml:space="preserve"> bent</w:t>
      </w:r>
      <w:r w:rsidR="00934319" w:rsidRPr="003872E4">
        <w:rPr>
          <w:sz w:val="32"/>
        </w:rPr>
        <w:t xml:space="preserve"> – als ik dat zo mag zeggen –</w:t>
      </w:r>
      <w:r w:rsidR="00682881" w:rsidRPr="003872E4">
        <w:rPr>
          <w:sz w:val="32"/>
        </w:rPr>
        <w:t xml:space="preserve"> minder op zoek gegaan naar de lichtvoetigheid van het onderwerp</w:t>
      </w:r>
      <w:r w:rsidR="00E4681A" w:rsidRPr="003872E4">
        <w:rPr>
          <w:sz w:val="32"/>
        </w:rPr>
        <w:t xml:space="preserve">, </w:t>
      </w:r>
      <w:r w:rsidR="00934319" w:rsidRPr="003872E4">
        <w:rPr>
          <w:sz w:val="32"/>
        </w:rPr>
        <w:t>maar dan weer</w:t>
      </w:r>
      <w:r w:rsidR="00E4681A" w:rsidRPr="003872E4">
        <w:rPr>
          <w:sz w:val="32"/>
        </w:rPr>
        <w:t xml:space="preserve"> m</w:t>
      </w:r>
      <w:r w:rsidR="00ED0BF8">
        <w:rPr>
          <w:sz w:val="32"/>
        </w:rPr>
        <w:t>éé</w:t>
      </w:r>
      <w:r w:rsidR="00E4681A" w:rsidRPr="003872E4">
        <w:rPr>
          <w:sz w:val="32"/>
        </w:rPr>
        <w:t>r naar de diepgang ervan</w:t>
      </w:r>
      <w:r w:rsidR="005909C6" w:rsidRPr="003872E4">
        <w:rPr>
          <w:sz w:val="32"/>
        </w:rPr>
        <w:t xml:space="preserve">, mijn complimenten daarvoor. </w:t>
      </w:r>
    </w:p>
    <w:p w:rsidR="00055E5A" w:rsidRPr="003872E4" w:rsidRDefault="00055E5A" w:rsidP="003558E1">
      <w:pPr>
        <w:rPr>
          <w:sz w:val="32"/>
        </w:rPr>
      </w:pPr>
    </w:p>
    <w:p w:rsidR="00055E5A" w:rsidRPr="003872E4" w:rsidRDefault="00934319" w:rsidP="003558E1">
      <w:pPr>
        <w:rPr>
          <w:sz w:val="32"/>
        </w:rPr>
      </w:pPr>
      <w:r w:rsidRPr="003872E4">
        <w:rPr>
          <w:sz w:val="32"/>
        </w:rPr>
        <w:t>De o</w:t>
      </w:r>
      <w:r w:rsidR="00E03197" w:rsidRPr="003872E4">
        <w:rPr>
          <w:sz w:val="32"/>
        </w:rPr>
        <w:t xml:space="preserve">peningsrede ontlokt mij </w:t>
      </w:r>
      <w:r w:rsidR="0032607A" w:rsidRPr="003872E4">
        <w:rPr>
          <w:sz w:val="32"/>
        </w:rPr>
        <w:t>drie</w:t>
      </w:r>
      <w:r w:rsidR="00055E5A" w:rsidRPr="003872E4">
        <w:rPr>
          <w:sz w:val="32"/>
        </w:rPr>
        <w:t xml:space="preserve"> o</w:t>
      </w:r>
      <w:r w:rsidR="00E03197" w:rsidRPr="003872E4">
        <w:rPr>
          <w:sz w:val="32"/>
        </w:rPr>
        <w:t>verwegingen</w:t>
      </w:r>
    </w:p>
    <w:p w:rsidR="00E03197" w:rsidRPr="003872E4" w:rsidRDefault="00E03197" w:rsidP="003558E1">
      <w:pPr>
        <w:rPr>
          <w:sz w:val="32"/>
        </w:rPr>
      </w:pPr>
    </w:p>
    <w:p w:rsidR="00E03197" w:rsidRPr="003872E4" w:rsidRDefault="000D45A5" w:rsidP="003558E1">
      <w:pPr>
        <w:pStyle w:val="Lijstalinea"/>
        <w:numPr>
          <w:ilvl w:val="0"/>
          <w:numId w:val="1"/>
        </w:numPr>
        <w:rPr>
          <w:sz w:val="32"/>
        </w:rPr>
      </w:pPr>
      <w:r w:rsidRPr="003872E4">
        <w:rPr>
          <w:sz w:val="32"/>
        </w:rPr>
        <w:t xml:space="preserve">U zegt dat </w:t>
      </w:r>
      <w:r w:rsidR="005876B2" w:rsidRPr="003872E4">
        <w:rPr>
          <w:sz w:val="32"/>
        </w:rPr>
        <w:t xml:space="preserve">het nieuwe ontwerp </w:t>
      </w:r>
      <w:r w:rsidRPr="003872E4">
        <w:rPr>
          <w:sz w:val="32"/>
        </w:rPr>
        <w:t xml:space="preserve">de traditionele regel van art. 1315 BW in wezen behoudt: wie iets beweert, moet het bewijzen. Maar, voegt u eraan toe: </w:t>
      </w:r>
      <w:r w:rsidR="005876B2" w:rsidRPr="003872E4">
        <w:rPr>
          <w:sz w:val="32"/>
        </w:rPr>
        <w:t xml:space="preserve">de </w:t>
      </w:r>
      <w:r w:rsidR="003F261B" w:rsidRPr="003872E4">
        <w:rPr>
          <w:sz w:val="32"/>
        </w:rPr>
        <w:t xml:space="preserve">wetgever verankert </w:t>
      </w:r>
      <w:r w:rsidR="005876B2" w:rsidRPr="003872E4">
        <w:rPr>
          <w:sz w:val="32"/>
        </w:rPr>
        <w:t xml:space="preserve">nu </w:t>
      </w:r>
      <w:r w:rsidR="003F261B" w:rsidRPr="003872E4">
        <w:rPr>
          <w:sz w:val="32"/>
        </w:rPr>
        <w:t xml:space="preserve">de </w:t>
      </w:r>
      <w:r w:rsidRPr="003872E4">
        <w:rPr>
          <w:sz w:val="32"/>
        </w:rPr>
        <w:t xml:space="preserve">theorie </w:t>
      </w:r>
      <w:r w:rsidR="003F261B" w:rsidRPr="003872E4">
        <w:rPr>
          <w:sz w:val="32"/>
        </w:rPr>
        <w:t xml:space="preserve">van </w:t>
      </w:r>
      <w:r w:rsidR="00124B87" w:rsidRPr="003872E4">
        <w:rPr>
          <w:sz w:val="32"/>
        </w:rPr>
        <w:t xml:space="preserve">het </w:t>
      </w:r>
      <w:r w:rsidRPr="003872E4">
        <w:rPr>
          <w:sz w:val="32"/>
        </w:rPr>
        <w:t>bewijs</w:t>
      </w:r>
      <w:r w:rsidR="00124B87" w:rsidRPr="003872E4">
        <w:rPr>
          <w:sz w:val="32"/>
        </w:rPr>
        <w:t>last</w:t>
      </w:r>
      <w:r w:rsidRPr="003872E4">
        <w:rPr>
          <w:sz w:val="32"/>
        </w:rPr>
        <w:t>risico</w:t>
      </w:r>
      <w:r w:rsidR="00A36028" w:rsidRPr="003872E4">
        <w:rPr>
          <w:sz w:val="32"/>
        </w:rPr>
        <w:t>.</w:t>
      </w:r>
    </w:p>
    <w:p w:rsidR="00A36028" w:rsidRPr="003872E4" w:rsidRDefault="00A36028" w:rsidP="003558E1">
      <w:pPr>
        <w:pStyle w:val="Lijstalinea"/>
        <w:rPr>
          <w:sz w:val="32"/>
        </w:rPr>
      </w:pPr>
    </w:p>
    <w:p w:rsidR="00A36028" w:rsidRPr="003872E4" w:rsidRDefault="00B0357D" w:rsidP="005876B2">
      <w:pPr>
        <w:pStyle w:val="Lijstalinea"/>
        <w:ind w:left="360"/>
        <w:rPr>
          <w:sz w:val="32"/>
        </w:rPr>
      </w:pPr>
      <w:r w:rsidRPr="003872E4">
        <w:rPr>
          <w:sz w:val="32"/>
        </w:rPr>
        <w:t xml:space="preserve">Wat zegt die theorie? </w:t>
      </w:r>
      <w:r w:rsidR="00A36028" w:rsidRPr="003872E4">
        <w:rPr>
          <w:sz w:val="32"/>
        </w:rPr>
        <w:t>D</w:t>
      </w:r>
      <w:r w:rsidRPr="003872E4">
        <w:rPr>
          <w:sz w:val="32"/>
        </w:rPr>
        <w:t>ie</w:t>
      </w:r>
      <w:r w:rsidR="00A36028" w:rsidRPr="003872E4">
        <w:rPr>
          <w:sz w:val="32"/>
        </w:rPr>
        <w:t xml:space="preserve"> theorie </w:t>
      </w:r>
      <w:r w:rsidR="007B67A9" w:rsidRPr="003872E4">
        <w:rPr>
          <w:sz w:val="32"/>
        </w:rPr>
        <w:t xml:space="preserve">neemt afstand van de statische benadering van de </w:t>
      </w:r>
      <w:r w:rsidR="000E381D" w:rsidRPr="003872E4">
        <w:rPr>
          <w:sz w:val="32"/>
        </w:rPr>
        <w:t>bewijs</w:t>
      </w:r>
      <w:r w:rsidR="007B67A9" w:rsidRPr="003872E4">
        <w:rPr>
          <w:sz w:val="32"/>
        </w:rPr>
        <w:t xml:space="preserve">regel: het is immers niet zo dat de wederpartij gewoon passief afwacht tot degene die iets poneert, datzelfde ook bewijst. </w:t>
      </w:r>
    </w:p>
    <w:p w:rsidR="007B67A9" w:rsidRPr="003872E4" w:rsidRDefault="007B67A9" w:rsidP="003558E1">
      <w:pPr>
        <w:pStyle w:val="Lijstalinea"/>
        <w:rPr>
          <w:sz w:val="32"/>
        </w:rPr>
      </w:pPr>
    </w:p>
    <w:p w:rsidR="007B67A9" w:rsidRPr="003872E4" w:rsidRDefault="000E381D" w:rsidP="000E381D">
      <w:pPr>
        <w:pStyle w:val="Lijstalinea"/>
        <w:ind w:left="360"/>
        <w:rPr>
          <w:sz w:val="32"/>
        </w:rPr>
      </w:pPr>
      <w:r w:rsidRPr="003872E4">
        <w:rPr>
          <w:sz w:val="32"/>
        </w:rPr>
        <w:t>Ieder</w:t>
      </w:r>
      <w:r w:rsidR="007B67A9" w:rsidRPr="003872E4">
        <w:rPr>
          <w:sz w:val="32"/>
        </w:rPr>
        <w:t xml:space="preserve"> die een beetje vertrouwd is met de procespraktijk</w:t>
      </w:r>
      <w:r w:rsidRPr="003872E4">
        <w:rPr>
          <w:sz w:val="32"/>
        </w:rPr>
        <w:t xml:space="preserve">, </w:t>
      </w:r>
      <w:r w:rsidR="007B67A9" w:rsidRPr="003872E4">
        <w:rPr>
          <w:sz w:val="32"/>
        </w:rPr>
        <w:t>weet dat de hazen anders lopen</w:t>
      </w:r>
      <w:r w:rsidR="00ED0BF8">
        <w:rPr>
          <w:sz w:val="32"/>
        </w:rPr>
        <w:t xml:space="preserve"> en dat het proces niet statisch, maar dynamisch is</w:t>
      </w:r>
      <w:r w:rsidR="007B67A9" w:rsidRPr="003872E4">
        <w:rPr>
          <w:sz w:val="32"/>
        </w:rPr>
        <w:t xml:space="preserve">: de wederpartij tegen wie iets geponeerd wordt haast zich om haar eigen bewijs aan te dragen voor de tegenovergestelde stelling. Bewijsvoering is in het echte leven niet statisch afwachten tot een partij haar stelling bewijst, maar een dynamische argumentatie van bewijzen en tegenbewijzen. </w:t>
      </w:r>
    </w:p>
    <w:p w:rsidR="007B67A9" w:rsidRPr="003872E4" w:rsidRDefault="007B67A9" w:rsidP="003558E1">
      <w:pPr>
        <w:pStyle w:val="Lijstalinea"/>
        <w:rPr>
          <w:sz w:val="32"/>
        </w:rPr>
      </w:pPr>
    </w:p>
    <w:p w:rsidR="007B67A9" w:rsidRPr="003872E4" w:rsidRDefault="007B67A9" w:rsidP="009855D0">
      <w:pPr>
        <w:pStyle w:val="Lijstalinea"/>
        <w:ind w:left="360"/>
        <w:rPr>
          <w:sz w:val="32"/>
        </w:rPr>
      </w:pPr>
      <w:r w:rsidRPr="003872E4">
        <w:rPr>
          <w:sz w:val="32"/>
        </w:rPr>
        <w:lastRenderedPageBreak/>
        <w:t>De theorie van het bewijs</w:t>
      </w:r>
      <w:r w:rsidR="009855D0" w:rsidRPr="003872E4">
        <w:rPr>
          <w:sz w:val="32"/>
        </w:rPr>
        <w:t>last</w:t>
      </w:r>
      <w:r w:rsidRPr="003872E4">
        <w:rPr>
          <w:sz w:val="32"/>
        </w:rPr>
        <w:t>risico houdt hiermee rekening. Het is niet bij het begin van de argumentatie</w:t>
      </w:r>
      <w:r w:rsidR="00B06904" w:rsidRPr="003872E4">
        <w:rPr>
          <w:sz w:val="32"/>
        </w:rPr>
        <w:t>,</w:t>
      </w:r>
      <w:r w:rsidRPr="003872E4">
        <w:rPr>
          <w:sz w:val="32"/>
        </w:rPr>
        <w:t xml:space="preserve"> dat de bewijslast acuut is, maar bij het einde. Als er na de uitwisseling van bewijzen nog twijfel bestaat bij de rechter, da</w:t>
      </w:r>
      <w:r w:rsidR="004B074E" w:rsidRPr="003872E4">
        <w:rPr>
          <w:sz w:val="32"/>
        </w:rPr>
        <w:t>n zal de rechter uitspraak doen tegen de partij die de bewijslast droeg.</w:t>
      </w:r>
      <w:r w:rsidR="00B06904" w:rsidRPr="003872E4">
        <w:rPr>
          <w:sz w:val="32"/>
        </w:rPr>
        <w:t xml:space="preserve"> Dat is de leer van het bewijslastrisico. </w:t>
      </w:r>
    </w:p>
    <w:p w:rsidR="004D5514" w:rsidRPr="003872E4" w:rsidRDefault="004D5514" w:rsidP="003558E1">
      <w:pPr>
        <w:pStyle w:val="Lijstalinea"/>
        <w:rPr>
          <w:sz w:val="32"/>
        </w:rPr>
      </w:pPr>
    </w:p>
    <w:p w:rsidR="004D5514" w:rsidRPr="003872E4" w:rsidRDefault="006D6758" w:rsidP="00B06904">
      <w:pPr>
        <w:pStyle w:val="Lijstalinea"/>
        <w:ind w:left="360"/>
        <w:rPr>
          <w:sz w:val="32"/>
        </w:rPr>
      </w:pPr>
      <w:r w:rsidRPr="003872E4">
        <w:rPr>
          <w:sz w:val="32"/>
        </w:rPr>
        <w:t xml:space="preserve">Het verheffen </w:t>
      </w:r>
      <w:r w:rsidR="004D5514" w:rsidRPr="003872E4">
        <w:rPr>
          <w:sz w:val="32"/>
        </w:rPr>
        <w:t>van deze theorie van de bewijsrisico</w:t>
      </w:r>
      <w:r w:rsidR="00434A7F" w:rsidRPr="003872E4">
        <w:rPr>
          <w:sz w:val="32"/>
        </w:rPr>
        <w:t xml:space="preserve"> tot wet</w:t>
      </w:r>
      <w:r w:rsidR="004D5514" w:rsidRPr="003872E4">
        <w:rPr>
          <w:sz w:val="32"/>
        </w:rPr>
        <w:t xml:space="preserve"> zou dan </w:t>
      </w:r>
      <w:r w:rsidR="00211882" w:rsidRPr="003872E4">
        <w:rPr>
          <w:sz w:val="32"/>
        </w:rPr>
        <w:t>het grote punt van</w:t>
      </w:r>
      <w:r w:rsidR="004D5514" w:rsidRPr="003872E4">
        <w:rPr>
          <w:sz w:val="32"/>
        </w:rPr>
        <w:t xml:space="preserve"> vernieuwing moeten </w:t>
      </w:r>
      <w:r w:rsidR="00211882" w:rsidRPr="003872E4">
        <w:rPr>
          <w:sz w:val="32"/>
        </w:rPr>
        <w:t>zijn in de nieuwe regeling</w:t>
      </w:r>
      <w:r w:rsidR="00A6698E" w:rsidRPr="003872E4">
        <w:rPr>
          <w:sz w:val="32"/>
        </w:rPr>
        <w:t xml:space="preserve">. Maar het spijt mij te moeten zeggen </w:t>
      </w:r>
      <w:r w:rsidR="002A61FB" w:rsidRPr="003872E4">
        <w:rPr>
          <w:sz w:val="32"/>
        </w:rPr>
        <w:t xml:space="preserve">dat deze visie geenszins nieuw is. Reeds in zijn </w:t>
      </w:r>
      <w:r w:rsidR="002A61FB" w:rsidRPr="003872E4">
        <w:rPr>
          <w:i/>
          <w:sz w:val="32"/>
        </w:rPr>
        <w:t>Algemeen Deel</w:t>
      </w:r>
      <w:r w:rsidR="002A61FB" w:rsidRPr="003872E4">
        <w:rPr>
          <w:sz w:val="32"/>
        </w:rPr>
        <w:t xml:space="preserve"> in de reeks </w:t>
      </w:r>
      <w:r w:rsidR="002A61FB" w:rsidRPr="003872E4">
        <w:rPr>
          <w:i/>
          <w:sz w:val="32"/>
        </w:rPr>
        <w:t xml:space="preserve">Beginselen van Belgisch Privaatrecht </w:t>
      </w:r>
      <w:r w:rsidR="00761CEA" w:rsidRPr="003872E4">
        <w:rPr>
          <w:sz w:val="32"/>
        </w:rPr>
        <w:t xml:space="preserve">in 1969 </w:t>
      </w:r>
      <w:r w:rsidR="002A61FB" w:rsidRPr="003872E4">
        <w:rPr>
          <w:sz w:val="32"/>
        </w:rPr>
        <w:t>betoogde Prof. Walter van Gerven dat deze leer de toen modernere opvatting was van het bewijsrecht</w:t>
      </w:r>
      <w:r w:rsidR="00434A7F" w:rsidRPr="003872E4">
        <w:rPr>
          <w:sz w:val="32"/>
        </w:rPr>
        <w:t xml:space="preserve">, </w:t>
      </w:r>
      <w:r w:rsidR="00D960C9" w:rsidRPr="003872E4">
        <w:rPr>
          <w:sz w:val="32"/>
        </w:rPr>
        <w:t xml:space="preserve">zoals </w:t>
      </w:r>
      <w:r w:rsidR="00761CEA" w:rsidRPr="003872E4">
        <w:rPr>
          <w:sz w:val="32"/>
        </w:rPr>
        <w:t>dat recht</w:t>
      </w:r>
      <w:r w:rsidR="00D960C9" w:rsidRPr="003872E4">
        <w:rPr>
          <w:sz w:val="32"/>
        </w:rPr>
        <w:t xml:space="preserve"> toen al was</w:t>
      </w:r>
      <w:r w:rsidR="002A61FB" w:rsidRPr="003872E4">
        <w:rPr>
          <w:sz w:val="32"/>
        </w:rPr>
        <w:t>.</w:t>
      </w:r>
      <w:r w:rsidR="00334F11" w:rsidRPr="003872E4">
        <w:rPr>
          <w:sz w:val="32"/>
        </w:rPr>
        <w:t xml:space="preserve"> Van Gerven </w:t>
      </w:r>
      <w:r w:rsidR="0032658F" w:rsidRPr="003872E4">
        <w:rPr>
          <w:sz w:val="32"/>
        </w:rPr>
        <w:t xml:space="preserve">noemde </w:t>
      </w:r>
      <w:r w:rsidR="00761CEA" w:rsidRPr="003872E4">
        <w:rPr>
          <w:sz w:val="32"/>
        </w:rPr>
        <w:t>dat</w:t>
      </w:r>
      <w:r w:rsidR="0032658F" w:rsidRPr="003872E4">
        <w:rPr>
          <w:sz w:val="32"/>
        </w:rPr>
        <w:t xml:space="preserve"> </w:t>
      </w:r>
      <w:r w:rsidR="00761CEA" w:rsidRPr="003872E4">
        <w:rPr>
          <w:sz w:val="32"/>
        </w:rPr>
        <w:t xml:space="preserve">toen al </w:t>
      </w:r>
      <w:r w:rsidR="0032658F" w:rsidRPr="003872E4">
        <w:rPr>
          <w:sz w:val="32"/>
        </w:rPr>
        <w:t>de “</w:t>
      </w:r>
      <w:r w:rsidR="0032658F" w:rsidRPr="003872E4">
        <w:rPr>
          <w:i/>
          <w:sz w:val="32"/>
        </w:rPr>
        <w:t>neo-klassieke opvatting</w:t>
      </w:r>
      <w:r w:rsidR="0032658F" w:rsidRPr="003872E4">
        <w:rPr>
          <w:sz w:val="32"/>
        </w:rPr>
        <w:t>”.</w:t>
      </w:r>
      <w:r w:rsidR="007F0AE4" w:rsidRPr="003872E4">
        <w:rPr>
          <w:rStyle w:val="Voetnootmarkering"/>
          <w:sz w:val="32"/>
        </w:rPr>
        <w:footnoteReference w:id="1"/>
      </w:r>
      <w:r w:rsidR="0032658F" w:rsidRPr="003872E4">
        <w:rPr>
          <w:sz w:val="32"/>
        </w:rPr>
        <w:t xml:space="preserve"> </w:t>
      </w:r>
      <w:r w:rsidR="0082148E" w:rsidRPr="003872E4">
        <w:rPr>
          <w:sz w:val="32"/>
        </w:rPr>
        <w:t xml:space="preserve">Hij </w:t>
      </w:r>
      <w:r w:rsidR="00CC2ED7" w:rsidRPr="003872E4">
        <w:rPr>
          <w:sz w:val="32"/>
        </w:rPr>
        <w:t xml:space="preserve">greep </w:t>
      </w:r>
      <w:r w:rsidR="006248A8" w:rsidRPr="003872E4">
        <w:rPr>
          <w:sz w:val="32"/>
        </w:rPr>
        <w:t>zelf</w:t>
      </w:r>
      <w:r w:rsidR="0082148E" w:rsidRPr="003872E4">
        <w:rPr>
          <w:sz w:val="32"/>
        </w:rPr>
        <w:t xml:space="preserve"> terug naar </w:t>
      </w:r>
      <w:r w:rsidR="007C0C8B" w:rsidRPr="003872E4">
        <w:rPr>
          <w:sz w:val="32"/>
        </w:rPr>
        <w:t xml:space="preserve">de erudiete </w:t>
      </w:r>
      <w:r w:rsidR="00C50DF2" w:rsidRPr="003872E4">
        <w:rPr>
          <w:sz w:val="32"/>
        </w:rPr>
        <w:t>r</w:t>
      </w:r>
      <w:r w:rsidR="007C0C8B" w:rsidRPr="003872E4">
        <w:rPr>
          <w:sz w:val="32"/>
        </w:rPr>
        <w:t xml:space="preserve">ede </w:t>
      </w:r>
      <w:r w:rsidR="00C50DF2" w:rsidRPr="003872E4">
        <w:rPr>
          <w:sz w:val="32"/>
        </w:rPr>
        <w:t>die advocaat-generaal</w:t>
      </w:r>
      <w:r w:rsidR="007C0C8B" w:rsidRPr="003872E4">
        <w:rPr>
          <w:sz w:val="32"/>
        </w:rPr>
        <w:t xml:space="preserve"> G. STEVIGNY</w:t>
      </w:r>
      <w:r w:rsidR="00D8279D" w:rsidRPr="003872E4">
        <w:rPr>
          <w:sz w:val="32"/>
        </w:rPr>
        <w:t xml:space="preserve"> hield </w:t>
      </w:r>
      <w:r w:rsidR="007C0C8B" w:rsidRPr="003872E4">
        <w:rPr>
          <w:sz w:val="32"/>
        </w:rPr>
        <w:t xml:space="preserve">op de plechtige openingszitting van het </w:t>
      </w:r>
      <w:r w:rsidR="00D8279D" w:rsidRPr="003872E4">
        <w:rPr>
          <w:sz w:val="32"/>
        </w:rPr>
        <w:t>hof van beroep te Gent</w:t>
      </w:r>
      <w:r w:rsidR="007C0C8B" w:rsidRPr="003872E4">
        <w:rPr>
          <w:sz w:val="32"/>
        </w:rPr>
        <w:t xml:space="preserve"> op 16 september 1957</w:t>
      </w:r>
      <w:r w:rsidR="00AF387F" w:rsidRPr="003872E4">
        <w:rPr>
          <w:sz w:val="32"/>
        </w:rPr>
        <w:t>.</w:t>
      </w:r>
      <w:r w:rsidR="006248A8" w:rsidRPr="003872E4">
        <w:rPr>
          <w:rStyle w:val="Voetnootmarkering"/>
          <w:sz w:val="32"/>
        </w:rPr>
        <w:footnoteReference w:id="2"/>
      </w:r>
    </w:p>
    <w:p w:rsidR="003F4EC6" w:rsidRPr="003872E4" w:rsidRDefault="003F4EC6" w:rsidP="003558E1">
      <w:pPr>
        <w:pStyle w:val="Lijstalinea"/>
        <w:rPr>
          <w:sz w:val="32"/>
        </w:rPr>
      </w:pPr>
    </w:p>
    <w:p w:rsidR="003F4EC6" w:rsidRPr="003872E4" w:rsidRDefault="003F4EC6" w:rsidP="00B06904">
      <w:pPr>
        <w:pStyle w:val="Lijstalinea"/>
        <w:ind w:left="360"/>
        <w:rPr>
          <w:sz w:val="32"/>
        </w:rPr>
      </w:pPr>
      <w:r w:rsidRPr="003872E4">
        <w:rPr>
          <w:sz w:val="32"/>
        </w:rPr>
        <w:t xml:space="preserve">Wij zijn nu meer dan 60 jaar verder, en ons wordt voorgehouden dat de invoering </w:t>
      </w:r>
      <w:r w:rsidR="00AB6F9C" w:rsidRPr="003872E4">
        <w:rPr>
          <w:sz w:val="32"/>
        </w:rPr>
        <w:t xml:space="preserve">van leer van het bewijsrisico een innovatie zou zijn. Helaas, het </w:t>
      </w:r>
      <w:r w:rsidR="00577A52" w:rsidRPr="003872E4">
        <w:rPr>
          <w:sz w:val="32"/>
        </w:rPr>
        <w:t xml:space="preserve">is </w:t>
      </w:r>
      <w:r w:rsidR="00AB6F9C" w:rsidRPr="003872E4">
        <w:rPr>
          <w:sz w:val="32"/>
        </w:rPr>
        <w:t xml:space="preserve">oude wijn in zelfs geen nieuwe zakken. </w:t>
      </w:r>
    </w:p>
    <w:p w:rsidR="00AB6F9C" w:rsidRPr="003872E4" w:rsidRDefault="00AB6F9C" w:rsidP="003558E1">
      <w:pPr>
        <w:pStyle w:val="Lijstalinea"/>
        <w:rPr>
          <w:sz w:val="32"/>
        </w:rPr>
      </w:pPr>
    </w:p>
    <w:p w:rsidR="00AB6F9C" w:rsidRPr="003872E4" w:rsidRDefault="00577A52" w:rsidP="003558E1">
      <w:pPr>
        <w:pStyle w:val="Lijstalinea"/>
        <w:numPr>
          <w:ilvl w:val="0"/>
          <w:numId w:val="1"/>
        </w:numPr>
        <w:rPr>
          <w:sz w:val="32"/>
        </w:rPr>
      </w:pPr>
      <w:r w:rsidRPr="003872E4">
        <w:rPr>
          <w:sz w:val="32"/>
        </w:rPr>
        <w:t>Mijn</w:t>
      </w:r>
      <w:r w:rsidR="00AB6F9C" w:rsidRPr="003872E4">
        <w:rPr>
          <w:sz w:val="32"/>
        </w:rPr>
        <w:t xml:space="preserve"> tweede observatie ligt in het verlengde van de vorige. De nieuwe regeling, zoals u die beschrijft, is voor mij </w:t>
      </w:r>
      <w:r w:rsidR="00522192" w:rsidRPr="003872E4">
        <w:rPr>
          <w:sz w:val="32"/>
        </w:rPr>
        <w:t xml:space="preserve">minstens gedeeltelijk </w:t>
      </w:r>
      <w:r w:rsidR="00AB6F9C" w:rsidRPr="003872E4">
        <w:rPr>
          <w:sz w:val="32"/>
        </w:rPr>
        <w:t>achterhaald</w:t>
      </w:r>
      <w:r w:rsidRPr="003872E4">
        <w:rPr>
          <w:sz w:val="32"/>
        </w:rPr>
        <w:t>,</w:t>
      </w:r>
      <w:r w:rsidR="00AB6F9C" w:rsidRPr="003872E4">
        <w:rPr>
          <w:sz w:val="32"/>
        </w:rPr>
        <w:t xml:space="preserve"> nog v</w:t>
      </w:r>
      <w:r w:rsidRPr="003872E4">
        <w:rPr>
          <w:sz w:val="32"/>
        </w:rPr>
        <w:t>óó</w:t>
      </w:r>
      <w:r w:rsidR="00AB6F9C" w:rsidRPr="003872E4">
        <w:rPr>
          <w:sz w:val="32"/>
        </w:rPr>
        <w:t xml:space="preserve">r zij wordt ingevoerd. Zij heeft </w:t>
      </w:r>
      <w:r w:rsidR="00C43F65" w:rsidRPr="003872E4">
        <w:rPr>
          <w:sz w:val="32"/>
        </w:rPr>
        <w:t xml:space="preserve">de </w:t>
      </w:r>
      <w:r w:rsidR="00C43F65" w:rsidRPr="003872E4">
        <w:rPr>
          <w:i/>
          <w:sz w:val="32"/>
        </w:rPr>
        <w:t>look and feel</w:t>
      </w:r>
      <w:r w:rsidR="00C43F65" w:rsidRPr="003872E4">
        <w:rPr>
          <w:sz w:val="32"/>
        </w:rPr>
        <w:t xml:space="preserve"> van</w:t>
      </w:r>
      <w:r w:rsidR="00522192" w:rsidRPr="003872E4">
        <w:rPr>
          <w:sz w:val="32"/>
        </w:rPr>
        <w:t xml:space="preserve"> </w:t>
      </w:r>
      <w:r w:rsidR="00AA4682" w:rsidRPr="003872E4">
        <w:rPr>
          <w:sz w:val="32"/>
        </w:rPr>
        <w:t xml:space="preserve">bejaarde </w:t>
      </w:r>
      <w:r w:rsidR="00522192" w:rsidRPr="003872E4">
        <w:rPr>
          <w:sz w:val="32"/>
        </w:rPr>
        <w:t>juris</w:t>
      </w:r>
      <w:r w:rsidR="00AB7B31" w:rsidRPr="003872E4">
        <w:rPr>
          <w:sz w:val="32"/>
        </w:rPr>
        <w:t>consult</w:t>
      </w:r>
      <w:r w:rsidR="00522192" w:rsidRPr="003872E4">
        <w:rPr>
          <w:sz w:val="32"/>
        </w:rPr>
        <w:t>en in</w:t>
      </w:r>
      <w:r w:rsidR="00C43F65" w:rsidRPr="003872E4">
        <w:rPr>
          <w:sz w:val="32"/>
        </w:rPr>
        <w:t xml:space="preserve"> </w:t>
      </w:r>
      <w:r w:rsidR="009061F1" w:rsidRPr="003872E4">
        <w:rPr>
          <w:sz w:val="32"/>
        </w:rPr>
        <w:t>rode</w:t>
      </w:r>
      <w:r w:rsidR="00602533" w:rsidRPr="003872E4">
        <w:rPr>
          <w:sz w:val="32"/>
        </w:rPr>
        <w:t>,</w:t>
      </w:r>
      <w:r w:rsidR="009061F1" w:rsidRPr="003872E4">
        <w:rPr>
          <w:sz w:val="32"/>
        </w:rPr>
        <w:t xml:space="preserve"> fluwelen fauteuils met kant</w:t>
      </w:r>
      <w:r w:rsidR="00602533" w:rsidRPr="003872E4">
        <w:rPr>
          <w:sz w:val="32"/>
        </w:rPr>
        <w:t xml:space="preserve">werkjes op de plaats waar het hoofd rust, </w:t>
      </w:r>
      <w:r w:rsidR="00AF354B" w:rsidRPr="003872E4">
        <w:rPr>
          <w:sz w:val="32"/>
        </w:rPr>
        <w:t xml:space="preserve">de geur van boenwas, palissanderhout en sigarenrook, </w:t>
      </w:r>
      <w:r w:rsidR="009B1DD4">
        <w:rPr>
          <w:sz w:val="32"/>
        </w:rPr>
        <w:t xml:space="preserve">en hoor ik daar </w:t>
      </w:r>
      <w:r w:rsidR="009061F1" w:rsidRPr="003872E4">
        <w:rPr>
          <w:sz w:val="32"/>
        </w:rPr>
        <w:t>in de verte het geluid van de stoomtrein op de lijn Brussel-Mechelen</w:t>
      </w:r>
      <w:r w:rsidR="009B1DD4">
        <w:rPr>
          <w:sz w:val="32"/>
        </w:rPr>
        <w:t>?</w:t>
      </w:r>
      <w:r w:rsidR="009061F1" w:rsidRPr="003872E4">
        <w:rPr>
          <w:sz w:val="32"/>
        </w:rPr>
        <w:t xml:space="preserve"> </w:t>
      </w:r>
      <w:r w:rsidR="00253C5F" w:rsidRPr="003872E4">
        <w:rPr>
          <w:sz w:val="32"/>
        </w:rPr>
        <w:t>Allemaal bijzonder charmant, maar uit de tijd.</w:t>
      </w:r>
    </w:p>
    <w:p w:rsidR="009061F1" w:rsidRPr="003872E4" w:rsidRDefault="009061F1" w:rsidP="003558E1">
      <w:pPr>
        <w:pStyle w:val="Lijstalinea"/>
        <w:rPr>
          <w:sz w:val="32"/>
        </w:rPr>
      </w:pPr>
    </w:p>
    <w:p w:rsidR="00743CCD" w:rsidRPr="003872E4" w:rsidRDefault="00F561EA" w:rsidP="00AF354B">
      <w:pPr>
        <w:pStyle w:val="Lijstalinea"/>
        <w:ind w:left="360"/>
        <w:rPr>
          <w:sz w:val="32"/>
        </w:rPr>
      </w:pPr>
      <w:r w:rsidRPr="003872E4">
        <w:rPr>
          <w:sz w:val="32"/>
        </w:rPr>
        <w:lastRenderedPageBreak/>
        <w:t>Waar</w:t>
      </w:r>
      <w:r w:rsidR="00AF354B" w:rsidRPr="003872E4">
        <w:rPr>
          <w:sz w:val="32"/>
        </w:rPr>
        <w:t>, beste openingsredenaar, mijn goede voorzitter,</w:t>
      </w:r>
      <w:r w:rsidRPr="003872E4">
        <w:rPr>
          <w:sz w:val="32"/>
        </w:rPr>
        <w:t xml:space="preserve"> is de impact van de technologie gebleven? </w:t>
      </w:r>
      <w:r w:rsidR="00743CCD" w:rsidRPr="003872E4">
        <w:rPr>
          <w:sz w:val="32"/>
        </w:rPr>
        <w:t xml:space="preserve">U beperkt u tot de vaststelling van de minister van Justitie dat het </w:t>
      </w:r>
      <w:r w:rsidR="00743CCD" w:rsidRPr="003872E4">
        <w:rPr>
          <w:sz w:val="32"/>
          <w:lang w:val="nl-NL"/>
        </w:rPr>
        <w:t>bewijsrecht  verouderd is, en  niet  aangepast  aan  de  technologische ontwikkelingen.</w:t>
      </w:r>
      <w:r w:rsidR="00743CCD" w:rsidRPr="003872E4">
        <w:rPr>
          <w:sz w:val="32"/>
        </w:rPr>
        <w:t xml:space="preserve"> </w:t>
      </w:r>
    </w:p>
    <w:p w:rsidR="00743CCD" w:rsidRPr="003872E4" w:rsidRDefault="00743CCD" w:rsidP="00AF354B">
      <w:pPr>
        <w:pStyle w:val="Lijstalinea"/>
        <w:ind w:left="360"/>
        <w:rPr>
          <w:sz w:val="32"/>
        </w:rPr>
      </w:pPr>
    </w:p>
    <w:p w:rsidR="009061F1" w:rsidRPr="003872E4" w:rsidRDefault="00743CCD" w:rsidP="00AF354B">
      <w:pPr>
        <w:pStyle w:val="Lijstalinea"/>
        <w:ind w:left="360"/>
        <w:rPr>
          <w:sz w:val="32"/>
        </w:rPr>
      </w:pPr>
      <w:r w:rsidRPr="003872E4">
        <w:rPr>
          <w:sz w:val="32"/>
        </w:rPr>
        <w:t xml:space="preserve">Wel inderdaad, </w:t>
      </w:r>
      <w:r w:rsidR="009061F1" w:rsidRPr="003872E4">
        <w:rPr>
          <w:sz w:val="32"/>
        </w:rPr>
        <w:t xml:space="preserve">de nieuwe technologieën die op ons afkomen, blockchain </w:t>
      </w:r>
      <w:r w:rsidR="002D4874" w:rsidRPr="003872E4">
        <w:rPr>
          <w:sz w:val="32"/>
        </w:rPr>
        <w:t>en dgl.</w:t>
      </w:r>
      <w:r w:rsidR="009061F1" w:rsidRPr="003872E4">
        <w:rPr>
          <w:sz w:val="32"/>
        </w:rPr>
        <w:t xml:space="preserve">, </w:t>
      </w:r>
      <w:r w:rsidRPr="003872E4">
        <w:rPr>
          <w:sz w:val="32"/>
        </w:rPr>
        <w:t>zullen zonder twijfel</w:t>
      </w:r>
      <w:r w:rsidR="009061F1" w:rsidRPr="003872E4">
        <w:rPr>
          <w:sz w:val="32"/>
        </w:rPr>
        <w:t xml:space="preserve"> </w:t>
      </w:r>
      <w:r w:rsidR="00EB6730" w:rsidRPr="003872E4">
        <w:rPr>
          <w:sz w:val="32"/>
        </w:rPr>
        <w:t>invloed</w:t>
      </w:r>
      <w:r w:rsidR="009061F1" w:rsidRPr="003872E4">
        <w:rPr>
          <w:sz w:val="32"/>
        </w:rPr>
        <w:t xml:space="preserve"> hebben op het lot van de bewijslast</w:t>
      </w:r>
      <w:r w:rsidR="009F7A14" w:rsidRPr="003872E4">
        <w:rPr>
          <w:sz w:val="32"/>
        </w:rPr>
        <w:t xml:space="preserve">. Daar is kennelijk niet aan gedacht; ik hoor er toch niets over in uw rede. </w:t>
      </w:r>
    </w:p>
    <w:p w:rsidR="009F7A14" w:rsidRPr="003872E4" w:rsidRDefault="009F7A14" w:rsidP="003558E1">
      <w:pPr>
        <w:pStyle w:val="Lijstalinea"/>
        <w:rPr>
          <w:sz w:val="32"/>
        </w:rPr>
      </w:pPr>
    </w:p>
    <w:p w:rsidR="009F7A14" w:rsidRPr="003872E4" w:rsidRDefault="009F7A14" w:rsidP="006D7080">
      <w:pPr>
        <w:pStyle w:val="Lijstalinea"/>
        <w:ind w:left="360"/>
        <w:rPr>
          <w:sz w:val="32"/>
        </w:rPr>
      </w:pPr>
      <w:r w:rsidRPr="003872E4">
        <w:rPr>
          <w:sz w:val="32"/>
        </w:rPr>
        <w:t>Zou het kunnen dat de redacteur</w:t>
      </w:r>
      <w:r w:rsidR="00155FF8" w:rsidRPr="003872E4">
        <w:rPr>
          <w:sz w:val="32"/>
        </w:rPr>
        <w:t>en</w:t>
      </w:r>
      <w:r w:rsidRPr="003872E4">
        <w:rPr>
          <w:sz w:val="32"/>
        </w:rPr>
        <w:t xml:space="preserve"> van het wetsontwerp</w:t>
      </w:r>
      <w:r w:rsidR="00155FF8" w:rsidRPr="003872E4">
        <w:rPr>
          <w:sz w:val="32"/>
        </w:rPr>
        <w:t xml:space="preserve"> allemaal </w:t>
      </w:r>
      <w:r w:rsidR="00EB6730" w:rsidRPr="003872E4">
        <w:rPr>
          <w:sz w:val="32"/>
        </w:rPr>
        <w:t xml:space="preserve">wel zeer </w:t>
      </w:r>
      <w:r w:rsidR="00155FF8" w:rsidRPr="003872E4">
        <w:rPr>
          <w:sz w:val="32"/>
        </w:rPr>
        <w:t xml:space="preserve">geleerde </w:t>
      </w:r>
      <w:r w:rsidR="006D7080" w:rsidRPr="003872E4">
        <w:rPr>
          <w:sz w:val="32"/>
        </w:rPr>
        <w:t>lieden</w:t>
      </w:r>
      <w:r w:rsidR="00155FF8" w:rsidRPr="003872E4">
        <w:rPr>
          <w:sz w:val="32"/>
        </w:rPr>
        <w:t xml:space="preserve"> zijn </w:t>
      </w:r>
      <w:r w:rsidR="00EB6730" w:rsidRPr="003872E4">
        <w:rPr>
          <w:sz w:val="32"/>
        </w:rPr>
        <w:t>maar</w:t>
      </w:r>
      <w:r w:rsidR="00155FF8" w:rsidRPr="003872E4">
        <w:rPr>
          <w:sz w:val="32"/>
        </w:rPr>
        <w:t xml:space="preserve"> dat multidisciplinariteit hen vreemd is? </w:t>
      </w:r>
    </w:p>
    <w:p w:rsidR="00C57B91" w:rsidRPr="003872E4" w:rsidRDefault="00C57B91" w:rsidP="003558E1">
      <w:pPr>
        <w:pStyle w:val="Lijstalinea"/>
        <w:rPr>
          <w:sz w:val="32"/>
        </w:rPr>
      </w:pPr>
    </w:p>
    <w:p w:rsidR="00C57B91" w:rsidRPr="003872E4" w:rsidRDefault="00C57B91" w:rsidP="00DB1DF5">
      <w:pPr>
        <w:pStyle w:val="Lijstalinea"/>
        <w:ind w:left="360"/>
        <w:rPr>
          <w:sz w:val="32"/>
        </w:rPr>
      </w:pPr>
      <w:r w:rsidRPr="003872E4">
        <w:rPr>
          <w:sz w:val="32"/>
        </w:rPr>
        <w:t xml:space="preserve">Herinner u de tijd toen de bankkaart werd ingevoerd. Juristen </w:t>
      </w:r>
      <w:r w:rsidR="00C22C5D" w:rsidRPr="003872E4">
        <w:rPr>
          <w:sz w:val="32"/>
        </w:rPr>
        <w:t>voerden</w:t>
      </w:r>
      <w:r w:rsidRPr="003872E4">
        <w:rPr>
          <w:sz w:val="32"/>
        </w:rPr>
        <w:t xml:space="preserve"> </w:t>
      </w:r>
      <w:r w:rsidR="00DB1DF5" w:rsidRPr="003872E4">
        <w:rPr>
          <w:sz w:val="32"/>
        </w:rPr>
        <w:t xml:space="preserve">byzantijnse </w:t>
      </w:r>
      <w:r w:rsidRPr="003872E4">
        <w:rPr>
          <w:sz w:val="32"/>
        </w:rPr>
        <w:t xml:space="preserve">discussies nodig over de vraag hoe nu eigenlijk bewezen kon worden dat er een geldige betaling plaatsgevonden had, of </w:t>
      </w:r>
      <w:r w:rsidR="00C22C5D" w:rsidRPr="003872E4">
        <w:rPr>
          <w:sz w:val="32"/>
        </w:rPr>
        <w:t xml:space="preserve">hoe er </w:t>
      </w:r>
      <w:r w:rsidRPr="003872E4">
        <w:rPr>
          <w:sz w:val="32"/>
        </w:rPr>
        <w:t xml:space="preserve">een geldige schuld ontstaan was. </w:t>
      </w:r>
      <w:r w:rsidR="00130224" w:rsidRPr="003872E4">
        <w:rPr>
          <w:sz w:val="32"/>
        </w:rPr>
        <w:t xml:space="preserve">Er was geen handtekening, er was alleen een cijfercode. En moest die cijfercode dan niet op het einde van de transactie ingebracht worden veeleer dan bij het begin, als een soort </w:t>
      </w:r>
      <w:r w:rsidR="001B7467" w:rsidRPr="003872E4">
        <w:rPr>
          <w:sz w:val="32"/>
        </w:rPr>
        <w:t>ersatz-</w:t>
      </w:r>
      <w:r w:rsidR="00130224" w:rsidRPr="003872E4">
        <w:rPr>
          <w:sz w:val="32"/>
        </w:rPr>
        <w:t xml:space="preserve">ondertekening? </w:t>
      </w:r>
      <w:r w:rsidRPr="003872E4">
        <w:rPr>
          <w:sz w:val="32"/>
        </w:rPr>
        <w:t xml:space="preserve">Maar de honden blaften, de karavaan </w:t>
      </w:r>
      <w:r w:rsidR="00011498" w:rsidRPr="003872E4">
        <w:rPr>
          <w:sz w:val="32"/>
        </w:rPr>
        <w:t>trok voorbij</w:t>
      </w:r>
      <w:r w:rsidR="00130224" w:rsidRPr="003872E4">
        <w:rPr>
          <w:sz w:val="32"/>
        </w:rPr>
        <w:t xml:space="preserve">: iedereen betaalde lustig met zijn kaart en de juristen vroegen zich </w:t>
      </w:r>
      <w:r w:rsidR="0032607A" w:rsidRPr="003872E4">
        <w:rPr>
          <w:sz w:val="32"/>
        </w:rPr>
        <w:t xml:space="preserve">jaren later </w:t>
      </w:r>
      <w:r w:rsidR="00130224" w:rsidRPr="003872E4">
        <w:rPr>
          <w:sz w:val="32"/>
        </w:rPr>
        <w:t xml:space="preserve">nog steeds af wat er juridisch aan de hand was. </w:t>
      </w:r>
    </w:p>
    <w:p w:rsidR="00743CCD" w:rsidRPr="003872E4" w:rsidRDefault="00743CCD" w:rsidP="00DB1DF5">
      <w:pPr>
        <w:pStyle w:val="Lijstalinea"/>
        <w:ind w:left="360"/>
        <w:rPr>
          <w:sz w:val="32"/>
        </w:rPr>
      </w:pPr>
    </w:p>
    <w:p w:rsidR="00743CCD" w:rsidRPr="003872E4" w:rsidRDefault="00743CCD" w:rsidP="00DB1DF5">
      <w:pPr>
        <w:pStyle w:val="Lijstalinea"/>
        <w:ind w:left="360"/>
        <w:rPr>
          <w:sz w:val="32"/>
        </w:rPr>
      </w:pPr>
      <w:r w:rsidRPr="003872E4">
        <w:rPr>
          <w:sz w:val="32"/>
        </w:rPr>
        <w:t>Wij lijken nu al dezelfde weg op te gaan.</w:t>
      </w:r>
    </w:p>
    <w:p w:rsidR="00BE5559" w:rsidRPr="003872E4" w:rsidRDefault="00BE5559" w:rsidP="0032607A">
      <w:pPr>
        <w:rPr>
          <w:sz w:val="32"/>
        </w:rPr>
      </w:pPr>
    </w:p>
    <w:p w:rsidR="00BE5559" w:rsidRPr="003872E4" w:rsidRDefault="00743CCD" w:rsidP="003558E1">
      <w:pPr>
        <w:pStyle w:val="Lijstalinea"/>
        <w:numPr>
          <w:ilvl w:val="0"/>
          <w:numId w:val="1"/>
        </w:numPr>
        <w:rPr>
          <w:sz w:val="32"/>
        </w:rPr>
      </w:pPr>
      <w:r w:rsidRPr="003872E4">
        <w:rPr>
          <w:sz w:val="32"/>
        </w:rPr>
        <w:t>Mijn</w:t>
      </w:r>
      <w:r w:rsidR="00BE5559" w:rsidRPr="003872E4">
        <w:rPr>
          <w:sz w:val="32"/>
        </w:rPr>
        <w:t xml:space="preserve"> </w:t>
      </w:r>
      <w:r w:rsidR="0032607A" w:rsidRPr="003872E4">
        <w:rPr>
          <w:sz w:val="32"/>
        </w:rPr>
        <w:t>derde</w:t>
      </w:r>
      <w:r w:rsidR="00BE5559" w:rsidRPr="003872E4">
        <w:rPr>
          <w:sz w:val="32"/>
        </w:rPr>
        <w:t xml:space="preserve"> en laatste overweging over uw openingsrede, Mr. Samyn</w:t>
      </w:r>
      <w:r w:rsidR="00D144AA" w:rsidRPr="003872E4">
        <w:rPr>
          <w:sz w:val="32"/>
        </w:rPr>
        <w:t xml:space="preserve">, betreft uw vaststelling dat het nieuwe bewijsrecht </w:t>
      </w:r>
      <w:r w:rsidR="001B5176" w:rsidRPr="003872E4">
        <w:rPr>
          <w:sz w:val="32"/>
        </w:rPr>
        <w:t>de rechter de mogelijkheid biedt om</w:t>
      </w:r>
      <w:r w:rsidR="00E67685" w:rsidRPr="003872E4">
        <w:rPr>
          <w:sz w:val="32"/>
        </w:rPr>
        <w:t>, “</w:t>
      </w:r>
      <w:r w:rsidR="00E67685" w:rsidRPr="003872E4">
        <w:rPr>
          <w:i/>
          <w:sz w:val="32"/>
        </w:rPr>
        <w:t xml:space="preserve">in het licht van buitengewone omstandigheden, bij een met redenen omkleed vonnis te bepalen </w:t>
      </w:r>
      <w:r w:rsidR="00564617" w:rsidRPr="003872E4">
        <w:rPr>
          <w:i/>
          <w:sz w:val="32"/>
        </w:rPr>
        <w:t>wie de bewijslast draagt wanneer de toepassing van de opgelegde regels kennelijk onredelijk zou zijn.</w:t>
      </w:r>
      <w:r w:rsidR="00564617" w:rsidRPr="003872E4">
        <w:rPr>
          <w:sz w:val="32"/>
        </w:rPr>
        <w:t>”</w:t>
      </w:r>
    </w:p>
    <w:p w:rsidR="00564617" w:rsidRPr="003872E4" w:rsidRDefault="00564617" w:rsidP="003558E1">
      <w:pPr>
        <w:pStyle w:val="Lijstalinea"/>
        <w:rPr>
          <w:sz w:val="32"/>
        </w:rPr>
      </w:pPr>
    </w:p>
    <w:p w:rsidR="00564617" w:rsidRPr="003872E4" w:rsidRDefault="00564617" w:rsidP="00A95D4D">
      <w:pPr>
        <w:pStyle w:val="Lijstalinea"/>
        <w:ind w:left="360"/>
        <w:rPr>
          <w:sz w:val="32"/>
        </w:rPr>
      </w:pPr>
      <w:r w:rsidRPr="003872E4">
        <w:rPr>
          <w:sz w:val="32"/>
        </w:rPr>
        <w:lastRenderedPageBreak/>
        <w:t xml:space="preserve">Deze regeling, die </w:t>
      </w:r>
      <w:r w:rsidR="003B3ED7" w:rsidRPr="003872E4">
        <w:rPr>
          <w:sz w:val="32"/>
        </w:rPr>
        <w:t>uitgaat</w:t>
      </w:r>
      <w:r w:rsidRPr="003872E4">
        <w:rPr>
          <w:sz w:val="32"/>
        </w:rPr>
        <w:t xml:space="preserve"> </w:t>
      </w:r>
      <w:r w:rsidR="003B3ED7" w:rsidRPr="003872E4">
        <w:rPr>
          <w:sz w:val="32"/>
        </w:rPr>
        <w:t>van</w:t>
      </w:r>
      <w:r w:rsidRPr="003872E4">
        <w:rPr>
          <w:sz w:val="32"/>
        </w:rPr>
        <w:t xml:space="preserve"> een billijkheids</w:t>
      </w:r>
      <w:r w:rsidR="003B3ED7" w:rsidRPr="003872E4">
        <w:rPr>
          <w:sz w:val="32"/>
        </w:rPr>
        <w:t>overweging</w:t>
      </w:r>
      <w:r w:rsidRPr="003872E4">
        <w:rPr>
          <w:sz w:val="32"/>
        </w:rPr>
        <w:t xml:space="preserve">, laat de rechter toe, in </w:t>
      </w:r>
      <w:r w:rsidR="00544976" w:rsidRPr="003872E4">
        <w:rPr>
          <w:sz w:val="32"/>
        </w:rPr>
        <w:t xml:space="preserve">buitengewone omstandigheden, </w:t>
      </w:r>
      <w:r w:rsidRPr="003872E4">
        <w:rPr>
          <w:sz w:val="32"/>
        </w:rPr>
        <w:t xml:space="preserve">de bewijslast ondersteboven te halen. </w:t>
      </w:r>
      <w:r w:rsidR="003574DA" w:rsidRPr="003872E4">
        <w:rPr>
          <w:sz w:val="32"/>
        </w:rPr>
        <w:t>U zegt</w:t>
      </w:r>
      <w:r w:rsidR="00F70D8E" w:rsidRPr="003872E4">
        <w:rPr>
          <w:sz w:val="32"/>
        </w:rPr>
        <w:t xml:space="preserve"> </w:t>
      </w:r>
      <w:r w:rsidR="003574DA" w:rsidRPr="003872E4">
        <w:rPr>
          <w:sz w:val="32"/>
        </w:rPr>
        <w:t xml:space="preserve">dat </w:t>
      </w:r>
      <w:r w:rsidR="00F70D8E" w:rsidRPr="003872E4">
        <w:rPr>
          <w:sz w:val="32"/>
        </w:rPr>
        <w:t>deze regeling de veruiterlijking is van de tendens waarin de wetgever steeds meer verantwoordelijkheid legt bij de rechter</w:t>
      </w:r>
      <w:r w:rsidR="006A7F7E" w:rsidRPr="003872E4">
        <w:rPr>
          <w:sz w:val="32"/>
        </w:rPr>
        <w:t xml:space="preserve"> en u stelt </w:t>
      </w:r>
      <w:r w:rsidR="00B937CC" w:rsidRPr="003872E4">
        <w:rPr>
          <w:sz w:val="32"/>
        </w:rPr>
        <w:t>een</w:t>
      </w:r>
      <w:r w:rsidR="006A7F7E" w:rsidRPr="003872E4">
        <w:rPr>
          <w:sz w:val="32"/>
        </w:rPr>
        <w:t xml:space="preserve"> vraag</w:t>
      </w:r>
      <w:r w:rsidR="00733548" w:rsidRPr="003872E4">
        <w:rPr>
          <w:sz w:val="32"/>
        </w:rPr>
        <w:t xml:space="preserve"> die klinkt als een retorische vraag</w:t>
      </w:r>
      <w:r w:rsidR="00B937CC" w:rsidRPr="003872E4">
        <w:rPr>
          <w:sz w:val="32"/>
        </w:rPr>
        <w:t>: “</w:t>
      </w:r>
      <w:r w:rsidR="00B937CC" w:rsidRPr="003872E4">
        <w:rPr>
          <w:i/>
          <w:sz w:val="32"/>
        </w:rPr>
        <w:t>le droit des juges?</w:t>
      </w:r>
      <w:r w:rsidR="00B937CC" w:rsidRPr="003872E4">
        <w:rPr>
          <w:sz w:val="32"/>
        </w:rPr>
        <w:t>”</w:t>
      </w:r>
    </w:p>
    <w:p w:rsidR="00B937CC" w:rsidRPr="003872E4" w:rsidRDefault="00B937CC" w:rsidP="003558E1">
      <w:pPr>
        <w:pStyle w:val="Lijstalinea"/>
        <w:rPr>
          <w:sz w:val="32"/>
        </w:rPr>
      </w:pPr>
    </w:p>
    <w:p w:rsidR="00B937CC" w:rsidRPr="003872E4" w:rsidRDefault="00672F57" w:rsidP="00936B2A">
      <w:pPr>
        <w:pStyle w:val="Lijstalinea"/>
        <w:ind w:left="360"/>
        <w:rPr>
          <w:sz w:val="32"/>
        </w:rPr>
      </w:pPr>
      <w:r w:rsidRPr="003872E4">
        <w:rPr>
          <w:sz w:val="32"/>
        </w:rPr>
        <w:t xml:space="preserve">Proef ik daar </w:t>
      </w:r>
      <w:r w:rsidR="00B838A8" w:rsidRPr="003872E4">
        <w:rPr>
          <w:sz w:val="32"/>
        </w:rPr>
        <w:t>enige afkeer</w:t>
      </w:r>
      <w:r w:rsidR="00743CCD" w:rsidRPr="003872E4">
        <w:rPr>
          <w:sz w:val="32"/>
        </w:rPr>
        <w:t xml:space="preserve"> van iemand met een toegegeven Napoleontische geest</w:t>
      </w:r>
      <w:r w:rsidR="00B838A8" w:rsidRPr="003872E4">
        <w:rPr>
          <w:sz w:val="32"/>
        </w:rPr>
        <w:t xml:space="preserve">? </w:t>
      </w:r>
      <w:r w:rsidR="00D57C58" w:rsidRPr="003872E4">
        <w:rPr>
          <w:sz w:val="32"/>
        </w:rPr>
        <w:t>De b</w:t>
      </w:r>
      <w:r w:rsidR="00857286" w:rsidRPr="003872E4">
        <w:rPr>
          <w:sz w:val="32"/>
        </w:rPr>
        <w:t xml:space="preserve">ewijsregeling in </w:t>
      </w:r>
      <w:r w:rsidR="00D57C58" w:rsidRPr="003872E4">
        <w:rPr>
          <w:sz w:val="32"/>
        </w:rPr>
        <w:t xml:space="preserve">het </w:t>
      </w:r>
      <w:r w:rsidR="00857286" w:rsidRPr="003872E4">
        <w:rPr>
          <w:sz w:val="32"/>
        </w:rPr>
        <w:t xml:space="preserve">BW is </w:t>
      </w:r>
      <w:r w:rsidR="00B838A8" w:rsidRPr="003872E4">
        <w:rPr>
          <w:sz w:val="32"/>
        </w:rPr>
        <w:t xml:space="preserve">inderdaad een </w:t>
      </w:r>
      <w:r w:rsidR="00857286" w:rsidRPr="003872E4">
        <w:rPr>
          <w:sz w:val="32"/>
        </w:rPr>
        <w:t xml:space="preserve">reactie van </w:t>
      </w:r>
      <w:r w:rsidR="00D57C58" w:rsidRPr="003872E4">
        <w:rPr>
          <w:sz w:val="32"/>
        </w:rPr>
        <w:t xml:space="preserve">de </w:t>
      </w:r>
      <w:r w:rsidR="00857286" w:rsidRPr="003872E4">
        <w:rPr>
          <w:sz w:val="32"/>
        </w:rPr>
        <w:t xml:space="preserve">Franse revolutionairen en vooral van Napoleon op de methodes en </w:t>
      </w:r>
      <w:r w:rsidR="00B838A8" w:rsidRPr="003872E4">
        <w:rPr>
          <w:sz w:val="32"/>
        </w:rPr>
        <w:t xml:space="preserve">de </w:t>
      </w:r>
      <w:r w:rsidR="00857286" w:rsidRPr="003872E4">
        <w:rPr>
          <w:sz w:val="32"/>
        </w:rPr>
        <w:t xml:space="preserve">macht van de rechters in het </w:t>
      </w:r>
      <w:r w:rsidR="00857286" w:rsidRPr="003872E4">
        <w:rPr>
          <w:i/>
          <w:sz w:val="32"/>
        </w:rPr>
        <w:t>ancien régime</w:t>
      </w:r>
      <w:r w:rsidR="00857286" w:rsidRPr="003872E4">
        <w:rPr>
          <w:sz w:val="32"/>
        </w:rPr>
        <w:t>.</w:t>
      </w:r>
      <w:r w:rsidR="00915B65" w:rsidRPr="003872E4">
        <w:rPr>
          <w:sz w:val="32"/>
        </w:rPr>
        <w:t xml:space="preserve"> Deze moest aan banden gelegd worden</w:t>
      </w:r>
      <w:r w:rsidR="004466E3" w:rsidRPr="003872E4">
        <w:rPr>
          <w:sz w:val="32"/>
        </w:rPr>
        <w:t>. D</w:t>
      </w:r>
      <w:r w:rsidR="003F0510" w:rsidRPr="003872E4">
        <w:rPr>
          <w:sz w:val="32"/>
        </w:rPr>
        <w:t xml:space="preserve">aarom is het systeem bedacht, althans in burgerlijke zaken, van het gereglemeneerde bewijs zoals wij dit </w:t>
      </w:r>
      <w:r w:rsidR="00936B2A" w:rsidRPr="003872E4">
        <w:rPr>
          <w:sz w:val="32"/>
        </w:rPr>
        <w:t xml:space="preserve">thans </w:t>
      </w:r>
      <w:r w:rsidR="003F0510" w:rsidRPr="003872E4">
        <w:rPr>
          <w:sz w:val="32"/>
        </w:rPr>
        <w:t xml:space="preserve">vinden in </w:t>
      </w:r>
      <w:r w:rsidR="004466E3" w:rsidRPr="003872E4">
        <w:rPr>
          <w:sz w:val="32"/>
        </w:rPr>
        <w:t xml:space="preserve">ons </w:t>
      </w:r>
      <w:r w:rsidR="003F0510" w:rsidRPr="003872E4">
        <w:rPr>
          <w:sz w:val="32"/>
        </w:rPr>
        <w:t>BW.</w:t>
      </w:r>
    </w:p>
    <w:p w:rsidR="00CB4075" w:rsidRPr="003872E4" w:rsidRDefault="00CB4075" w:rsidP="003558E1">
      <w:pPr>
        <w:pStyle w:val="Lijstalinea"/>
        <w:rPr>
          <w:sz w:val="32"/>
        </w:rPr>
      </w:pPr>
    </w:p>
    <w:p w:rsidR="00C1400D" w:rsidRPr="003872E4" w:rsidRDefault="00ED0BF8" w:rsidP="00936B2A">
      <w:pPr>
        <w:pStyle w:val="Lijstalinea"/>
        <w:ind w:left="360"/>
        <w:rPr>
          <w:sz w:val="32"/>
        </w:rPr>
      </w:pPr>
      <w:r>
        <w:rPr>
          <w:sz w:val="32"/>
        </w:rPr>
        <w:t>U</w:t>
      </w:r>
      <w:r w:rsidR="00563EAE" w:rsidRPr="003872E4">
        <w:rPr>
          <w:sz w:val="32"/>
        </w:rPr>
        <w:t xml:space="preserve">w verwijzing naar </w:t>
      </w:r>
      <w:proofErr w:type="spellStart"/>
      <w:r w:rsidR="00563EAE" w:rsidRPr="003872E4">
        <w:rPr>
          <w:i/>
          <w:sz w:val="32"/>
        </w:rPr>
        <w:t>le</w:t>
      </w:r>
      <w:proofErr w:type="spellEnd"/>
      <w:r w:rsidR="00563EAE" w:rsidRPr="003872E4">
        <w:rPr>
          <w:i/>
          <w:sz w:val="32"/>
        </w:rPr>
        <w:t xml:space="preserve"> </w:t>
      </w:r>
      <w:proofErr w:type="spellStart"/>
      <w:r w:rsidR="00563EAE" w:rsidRPr="003872E4">
        <w:rPr>
          <w:i/>
          <w:sz w:val="32"/>
        </w:rPr>
        <w:t>droit</w:t>
      </w:r>
      <w:proofErr w:type="spellEnd"/>
      <w:r w:rsidR="00563EAE" w:rsidRPr="003872E4">
        <w:rPr>
          <w:i/>
          <w:sz w:val="32"/>
        </w:rPr>
        <w:t xml:space="preserve"> des </w:t>
      </w:r>
      <w:proofErr w:type="spellStart"/>
      <w:r w:rsidR="00563EAE" w:rsidRPr="003872E4">
        <w:rPr>
          <w:i/>
          <w:sz w:val="32"/>
        </w:rPr>
        <w:t>juges</w:t>
      </w:r>
      <w:proofErr w:type="spellEnd"/>
      <w:r w:rsidR="00563EAE" w:rsidRPr="003872E4">
        <w:rPr>
          <w:sz w:val="32"/>
        </w:rPr>
        <w:t xml:space="preserve"> of </w:t>
      </w:r>
      <w:r w:rsidR="00563EAE" w:rsidRPr="003872E4">
        <w:rPr>
          <w:i/>
          <w:sz w:val="32"/>
        </w:rPr>
        <w:t>le gouvernement des juges</w:t>
      </w:r>
      <w:r w:rsidR="00563EAE" w:rsidRPr="003872E4">
        <w:rPr>
          <w:sz w:val="32"/>
        </w:rPr>
        <w:t xml:space="preserve"> biedt mij de gelegenheid om </w:t>
      </w:r>
      <w:r w:rsidR="00AB4720" w:rsidRPr="003872E4">
        <w:rPr>
          <w:sz w:val="32"/>
        </w:rPr>
        <w:t xml:space="preserve">even in te gaan op dit begrip en zijn belang voor </w:t>
      </w:r>
      <w:r w:rsidR="00C1400D" w:rsidRPr="003872E4">
        <w:rPr>
          <w:sz w:val="32"/>
        </w:rPr>
        <w:t>onze</w:t>
      </w:r>
      <w:r w:rsidR="00AB4720" w:rsidRPr="003872E4">
        <w:rPr>
          <w:sz w:val="32"/>
        </w:rPr>
        <w:t xml:space="preserve"> huidige maatschappij. </w:t>
      </w:r>
    </w:p>
    <w:p w:rsidR="001F73E5" w:rsidRPr="003872E4" w:rsidRDefault="001F73E5" w:rsidP="001F73E5">
      <w:pPr>
        <w:rPr>
          <w:sz w:val="32"/>
        </w:rPr>
      </w:pPr>
    </w:p>
    <w:p w:rsidR="00CB4075" w:rsidRPr="003872E4" w:rsidRDefault="0041139F" w:rsidP="00ED0BF8">
      <w:pPr>
        <w:pStyle w:val="Lijstalinea"/>
        <w:ind w:left="360"/>
        <w:rPr>
          <w:sz w:val="32"/>
        </w:rPr>
      </w:pPr>
      <w:r w:rsidRPr="003872E4">
        <w:rPr>
          <w:sz w:val="32"/>
        </w:rPr>
        <w:t xml:space="preserve">Henri François </w:t>
      </w:r>
      <w:proofErr w:type="spellStart"/>
      <w:r w:rsidRPr="003872E4">
        <w:rPr>
          <w:sz w:val="32"/>
        </w:rPr>
        <w:t>d'Aguesseau</w:t>
      </w:r>
      <w:proofErr w:type="spellEnd"/>
      <w:r w:rsidRPr="003872E4">
        <w:rPr>
          <w:sz w:val="32"/>
        </w:rPr>
        <w:t xml:space="preserve"> (1668</w:t>
      </w:r>
      <w:r w:rsidR="00CC1EF4" w:rsidRPr="003872E4">
        <w:rPr>
          <w:sz w:val="32"/>
        </w:rPr>
        <w:t>-</w:t>
      </w:r>
      <w:r w:rsidRPr="003872E4">
        <w:rPr>
          <w:sz w:val="32"/>
        </w:rPr>
        <w:t>1751)</w:t>
      </w:r>
      <w:r w:rsidR="00CB2495" w:rsidRPr="003872E4">
        <w:rPr>
          <w:sz w:val="32"/>
        </w:rPr>
        <w:t xml:space="preserve">, kanselier en </w:t>
      </w:r>
      <w:r w:rsidR="00C87A0F" w:rsidRPr="003872E4">
        <w:rPr>
          <w:i/>
          <w:sz w:val="32"/>
        </w:rPr>
        <w:t>garde des sceaux</w:t>
      </w:r>
      <w:r w:rsidR="00C87A0F" w:rsidRPr="003872E4">
        <w:rPr>
          <w:sz w:val="32"/>
        </w:rPr>
        <w:t>, heeft in zijn</w:t>
      </w:r>
      <w:r w:rsidR="008B746A" w:rsidRPr="003872E4">
        <w:rPr>
          <w:sz w:val="32"/>
        </w:rPr>
        <w:t xml:space="preserve"> VII</w:t>
      </w:r>
      <w:r w:rsidR="008B746A" w:rsidRPr="003872E4">
        <w:rPr>
          <w:sz w:val="32"/>
          <w:vertAlign w:val="superscript"/>
        </w:rPr>
        <w:t>de</w:t>
      </w:r>
      <w:r w:rsidR="008B746A" w:rsidRPr="003872E4">
        <w:rPr>
          <w:sz w:val="32"/>
        </w:rPr>
        <w:t xml:space="preserve"> </w:t>
      </w:r>
      <w:r w:rsidR="00C87A0F" w:rsidRPr="003872E4">
        <w:rPr>
          <w:sz w:val="32"/>
        </w:rPr>
        <w:t xml:space="preserve"> mercuriale</w:t>
      </w:r>
      <w:r w:rsidR="008B746A" w:rsidRPr="003872E4">
        <w:rPr>
          <w:sz w:val="32"/>
        </w:rPr>
        <w:t xml:space="preserve"> getiteld “</w:t>
      </w:r>
      <w:r w:rsidR="00E850BE" w:rsidRPr="003872E4">
        <w:rPr>
          <w:i/>
          <w:sz w:val="32"/>
        </w:rPr>
        <w:t>De l’esprit et de la science</w:t>
      </w:r>
      <w:r w:rsidR="00E850BE" w:rsidRPr="003872E4">
        <w:rPr>
          <w:sz w:val="32"/>
        </w:rPr>
        <w:t xml:space="preserve">” uit 1704, </w:t>
      </w:r>
      <w:r w:rsidR="00905113" w:rsidRPr="003872E4">
        <w:rPr>
          <w:sz w:val="32"/>
        </w:rPr>
        <w:t>gevat uitgelegd welke de bezwaren waren tegen een gouvernement des juges:</w:t>
      </w:r>
    </w:p>
    <w:p w:rsidR="00AF544F" w:rsidRPr="003872E4" w:rsidRDefault="00AF544F" w:rsidP="003558E1">
      <w:pPr>
        <w:pStyle w:val="Lijstalinea"/>
        <w:rPr>
          <w:sz w:val="32"/>
        </w:rPr>
      </w:pPr>
    </w:p>
    <w:p w:rsidR="00C91DED" w:rsidRPr="003872E4" w:rsidRDefault="00AF544F" w:rsidP="003F71C5">
      <w:pPr>
        <w:ind w:left="708"/>
        <w:rPr>
          <w:sz w:val="32"/>
          <w:lang w:val="fr-FR"/>
        </w:rPr>
      </w:pPr>
      <w:r w:rsidRPr="003872E4">
        <w:rPr>
          <w:sz w:val="32"/>
          <w:lang w:val="fr-FR"/>
        </w:rPr>
        <w:t>“</w:t>
      </w:r>
      <w:r w:rsidR="00C91DED" w:rsidRPr="003872E4">
        <w:rPr>
          <w:i/>
          <w:sz w:val="32"/>
          <w:lang w:val="fr-FR"/>
        </w:rPr>
        <w:t xml:space="preserve">Combien voyons nous, en effet, de magistrats errer continuellement au </w:t>
      </w:r>
      <w:r w:rsidR="00253C5F" w:rsidRPr="003872E4">
        <w:rPr>
          <w:i/>
          <w:sz w:val="32"/>
          <w:lang w:val="fr-FR"/>
        </w:rPr>
        <w:t>gré</w:t>
      </w:r>
      <w:r w:rsidR="00C91DED" w:rsidRPr="003872E4">
        <w:rPr>
          <w:i/>
          <w:sz w:val="32"/>
          <w:lang w:val="fr-FR"/>
        </w:rPr>
        <w:t xml:space="preserve"> de leur inconstance, changer tous les jours de</w:t>
      </w:r>
      <w:r w:rsidR="00467C5E" w:rsidRPr="003872E4">
        <w:rPr>
          <w:i/>
          <w:sz w:val="32"/>
          <w:lang w:val="fr-FR"/>
        </w:rPr>
        <w:t xml:space="preserve"> </w:t>
      </w:r>
      <w:r w:rsidR="00C91DED" w:rsidRPr="003872E4">
        <w:rPr>
          <w:i/>
          <w:sz w:val="32"/>
          <w:lang w:val="fr-FR"/>
        </w:rPr>
        <w:t xml:space="preserve">principes, et faire </w:t>
      </w:r>
      <w:r w:rsidR="00253C5F" w:rsidRPr="003872E4">
        <w:rPr>
          <w:i/>
          <w:sz w:val="32"/>
          <w:lang w:val="fr-FR"/>
        </w:rPr>
        <w:t>na</w:t>
      </w:r>
      <w:r w:rsidR="00743CCD" w:rsidRPr="003872E4">
        <w:rPr>
          <w:i/>
          <w:sz w:val="32"/>
          <w:lang w:val="fr-FR"/>
        </w:rPr>
        <w:t>î</w:t>
      </w:r>
      <w:r w:rsidR="00253C5F" w:rsidRPr="003872E4">
        <w:rPr>
          <w:i/>
          <w:sz w:val="32"/>
          <w:lang w:val="fr-FR"/>
        </w:rPr>
        <w:t>tre</w:t>
      </w:r>
      <w:r w:rsidR="00C91DED" w:rsidRPr="003872E4">
        <w:rPr>
          <w:i/>
          <w:sz w:val="32"/>
          <w:lang w:val="fr-FR"/>
        </w:rPr>
        <w:t xml:space="preserve"> de chaque fait autant de maximes </w:t>
      </w:r>
      <w:r w:rsidR="00253C5F" w:rsidRPr="003872E4">
        <w:rPr>
          <w:i/>
          <w:sz w:val="32"/>
          <w:lang w:val="fr-FR"/>
        </w:rPr>
        <w:t>différentes</w:t>
      </w:r>
      <w:r w:rsidR="00C91DED" w:rsidRPr="003872E4">
        <w:rPr>
          <w:i/>
          <w:sz w:val="32"/>
          <w:lang w:val="fr-FR"/>
        </w:rPr>
        <w:t xml:space="preserve">; auteurs de nouveaux </w:t>
      </w:r>
      <w:r w:rsidR="00253C5F" w:rsidRPr="003872E4">
        <w:rPr>
          <w:i/>
          <w:sz w:val="32"/>
          <w:lang w:val="fr-FR"/>
        </w:rPr>
        <w:t>systèmes</w:t>
      </w:r>
      <w:r w:rsidR="00C91DED" w:rsidRPr="003872E4">
        <w:rPr>
          <w:i/>
          <w:sz w:val="32"/>
          <w:lang w:val="fr-FR"/>
        </w:rPr>
        <w:t xml:space="preserve">, les </w:t>
      </w:r>
      <w:r w:rsidR="00253C5F" w:rsidRPr="003872E4">
        <w:rPr>
          <w:i/>
          <w:sz w:val="32"/>
          <w:lang w:val="fr-FR"/>
        </w:rPr>
        <w:t>créer</w:t>
      </w:r>
      <w:r w:rsidR="00C91DED" w:rsidRPr="003872E4">
        <w:rPr>
          <w:i/>
          <w:sz w:val="32"/>
          <w:lang w:val="fr-FR"/>
        </w:rPr>
        <w:t xml:space="preserve"> et les </w:t>
      </w:r>
      <w:r w:rsidR="00253C5F" w:rsidRPr="003872E4">
        <w:rPr>
          <w:i/>
          <w:sz w:val="32"/>
          <w:lang w:val="fr-FR"/>
        </w:rPr>
        <w:t>anéantir</w:t>
      </w:r>
      <w:r w:rsidR="00C91DED" w:rsidRPr="003872E4">
        <w:rPr>
          <w:i/>
          <w:sz w:val="32"/>
          <w:lang w:val="fr-FR"/>
        </w:rPr>
        <w:t xml:space="preserve"> avec la </w:t>
      </w:r>
      <w:r w:rsidR="00253C5F" w:rsidRPr="003872E4">
        <w:rPr>
          <w:i/>
          <w:sz w:val="32"/>
          <w:lang w:val="fr-FR"/>
        </w:rPr>
        <w:t>même</w:t>
      </w:r>
      <w:r w:rsidR="00C91DED" w:rsidRPr="003872E4">
        <w:rPr>
          <w:i/>
          <w:sz w:val="32"/>
          <w:lang w:val="fr-FR"/>
        </w:rPr>
        <w:t xml:space="preserve"> facilité; aimer le vrai et le faux alternativement; quelquefois justes sans </w:t>
      </w:r>
      <w:r w:rsidR="00253C5F" w:rsidRPr="003872E4">
        <w:rPr>
          <w:i/>
          <w:sz w:val="32"/>
          <w:lang w:val="fr-FR"/>
        </w:rPr>
        <w:t>mérite</w:t>
      </w:r>
      <w:r w:rsidR="00C91DED" w:rsidRPr="003872E4">
        <w:rPr>
          <w:i/>
          <w:sz w:val="32"/>
          <w:lang w:val="fr-FR"/>
        </w:rPr>
        <w:t xml:space="preserve">, et plus souvent injustes par </w:t>
      </w:r>
      <w:r w:rsidR="00253C5F" w:rsidRPr="003872E4">
        <w:rPr>
          <w:i/>
          <w:sz w:val="32"/>
          <w:lang w:val="fr-FR"/>
        </w:rPr>
        <w:t>légèreté</w:t>
      </w:r>
      <w:r w:rsidR="00C91DED" w:rsidRPr="003872E4">
        <w:rPr>
          <w:i/>
          <w:sz w:val="32"/>
          <w:lang w:val="fr-FR"/>
        </w:rPr>
        <w:t xml:space="preserve">́. D'autres, plus timides et plus incertains, ne voient que des images et n'enfantent que des doutes. Les </w:t>
      </w:r>
      <w:r w:rsidR="00253C5F" w:rsidRPr="003872E4">
        <w:rPr>
          <w:i/>
          <w:sz w:val="32"/>
          <w:lang w:val="fr-FR"/>
        </w:rPr>
        <w:t>difficultés</w:t>
      </w:r>
      <w:r w:rsidR="00C91DED" w:rsidRPr="003872E4">
        <w:rPr>
          <w:i/>
          <w:sz w:val="32"/>
          <w:lang w:val="fr-FR"/>
        </w:rPr>
        <w:t xml:space="preserve"> se multiplient; les </w:t>
      </w:r>
      <w:r w:rsidR="00253C5F" w:rsidRPr="003872E4">
        <w:rPr>
          <w:i/>
          <w:sz w:val="32"/>
          <w:lang w:val="fr-FR"/>
        </w:rPr>
        <w:t>épines</w:t>
      </w:r>
      <w:r w:rsidR="00C91DED" w:rsidRPr="003872E4">
        <w:rPr>
          <w:i/>
          <w:sz w:val="32"/>
          <w:lang w:val="fr-FR"/>
        </w:rPr>
        <w:t xml:space="preserve"> croissent sous leurs pas; </w:t>
      </w:r>
      <w:r w:rsidR="00253C5F" w:rsidRPr="003872E4">
        <w:rPr>
          <w:i/>
          <w:sz w:val="32"/>
          <w:lang w:val="fr-FR"/>
        </w:rPr>
        <w:t>prêts</w:t>
      </w:r>
      <w:r w:rsidR="00C91DED" w:rsidRPr="003872E4">
        <w:rPr>
          <w:i/>
          <w:sz w:val="32"/>
          <w:lang w:val="fr-FR"/>
        </w:rPr>
        <w:t xml:space="preserve"> à condamner</w:t>
      </w:r>
      <w:r w:rsidR="00CF2662" w:rsidRPr="003872E4">
        <w:rPr>
          <w:i/>
          <w:sz w:val="32"/>
          <w:lang w:val="fr-FR"/>
        </w:rPr>
        <w:t xml:space="preserve"> </w:t>
      </w:r>
      <w:r w:rsidR="00C91DED" w:rsidRPr="003872E4">
        <w:rPr>
          <w:i/>
          <w:sz w:val="32"/>
          <w:lang w:val="fr-FR"/>
        </w:rPr>
        <w:t xml:space="preserve">celui qu'ils vont embrasser, de quel </w:t>
      </w:r>
      <w:r w:rsidR="00253C5F" w:rsidRPr="003872E4">
        <w:rPr>
          <w:i/>
          <w:sz w:val="32"/>
          <w:lang w:val="fr-FR"/>
        </w:rPr>
        <w:t>côté</w:t>
      </w:r>
      <w:r w:rsidR="00C91DED" w:rsidRPr="003872E4">
        <w:rPr>
          <w:i/>
          <w:sz w:val="32"/>
          <w:lang w:val="fr-FR"/>
        </w:rPr>
        <w:t xml:space="preserve"> penche</w:t>
      </w:r>
      <w:r w:rsidR="00CF2662" w:rsidRPr="003872E4">
        <w:rPr>
          <w:i/>
          <w:sz w:val="32"/>
          <w:lang w:val="fr-FR"/>
        </w:rPr>
        <w:t xml:space="preserve">ra </w:t>
      </w:r>
      <w:r w:rsidR="00C91DED" w:rsidRPr="003872E4">
        <w:rPr>
          <w:i/>
          <w:sz w:val="32"/>
          <w:lang w:val="fr-FR"/>
        </w:rPr>
        <w:t xml:space="preserve">cette balance si longtemps suspendue ? Il vient enfin </w:t>
      </w:r>
      <w:r w:rsidR="00C91DED" w:rsidRPr="003872E4">
        <w:rPr>
          <w:i/>
          <w:sz w:val="32"/>
          <w:lang w:val="fr-FR"/>
        </w:rPr>
        <w:lastRenderedPageBreak/>
        <w:t>un moment fatal qui les fait sortir de l'</w:t>
      </w:r>
      <w:r w:rsidR="00253C5F" w:rsidRPr="003872E4">
        <w:rPr>
          <w:i/>
          <w:sz w:val="32"/>
          <w:lang w:val="fr-FR"/>
        </w:rPr>
        <w:t>équilibre</w:t>
      </w:r>
      <w:r w:rsidR="00C91DED" w:rsidRPr="003872E4">
        <w:rPr>
          <w:i/>
          <w:sz w:val="32"/>
          <w:lang w:val="fr-FR"/>
        </w:rPr>
        <w:t xml:space="preserve"> de leurs </w:t>
      </w:r>
      <w:r w:rsidR="00253C5F" w:rsidRPr="003872E4">
        <w:rPr>
          <w:i/>
          <w:sz w:val="32"/>
          <w:lang w:val="fr-FR"/>
        </w:rPr>
        <w:t>pensées</w:t>
      </w:r>
      <w:r w:rsidR="00C91DED" w:rsidRPr="003872E4">
        <w:rPr>
          <w:i/>
          <w:sz w:val="32"/>
          <w:lang w:val="fr-FR"/>
        </w:rPr>
        <w:t xml:space="preserve">; ils se </w:t>
      </w:r>
      <w:r w:rsidR="00253C5F" w:rsidRPr="003872E4">
        <w:rPr>
          <w:i/>
          <w:sz w:val="32"/>
          <w:lang w:val="fr-FR"/>
        </w:rPr>
        <w:t>déterminent</w:t>
      </w:r>
      <w:r w:rsidR="00C91DED" w:rsidRPr="003872E4">
        <w:rPr>
          <w:i/>
          <w:sz w:val="32"/>
          <w:lang w:val="fr-FR"/>
        </w:rPr>
        <w:t xml:space="preserve"> moins par choix que par lassitude, et </w:t>
      </w:r>
      <w:r w:rsidR="00253C5F" w:rsidRPr="003872E4">
        <w:rPr>
          <w:i/>
          <w:sz w:val="32"/>
          <w:lang w:val="fr-FR"/>
        </w:rPr>
        <w:t>le</w:t>
      </w:r>
      <w:r w:rsidR="00C91DED" w:rsidRPr="003872E4">
        <w:rPr>
          <w:i/>
          <w:sz w:val="32"/>
          <w:lang w:val="fr-FR"/>
        </w:rPr>
        <w:t xml:space="preserve"> hasard fait sortir de leurs bouches une </w:t>
      </w:r>
      <w:r w:rsidR="00253C5F" w:rsidRPr="003872E4">
        <w:rPr>
          <w:i/>
          <w:sz w:val="32"/>
          <w:lang w:val="fr-FR"/>
        </w:rPr>
        <w:t>décision</w:t>
      </w:r>
      <w:r w:rsidR="00C91DED" w:rsidRPr="003872E4">
        <w:rPr>
          <w:i/>
          <w:sz w:val="32"/>
          <w:lang w:val="fr-FR"/>
        </w:rPr>
        <w:t xml:space="preserve"> dont ils se repentent en la </w:t>
      </w:r>
      <w:r w:rsidR="00253C5F" w:rsidRPr="003872E4">
        <w:rPr>
          <w:i/>
          <w:sz w:val="32"/>
          <w:lang w:val="fr-FR"/>
        </w:rPr>
        <w:t>prononçant</w:t>
      </w:r>
      <w:r w:rsidR="004F230A" w:rsidRPr="003872E4">
        <w:rPr>
          <w:i/>
          <w:sz w:val="32"/>
          <w:lang w:val="fr-FR"/>
        </w:rPr>
        <w:t>.</w:t>
      </w:r>
      <w:r w:rsidR="004F230A" w:rsidRPr="003872E4">
        <w:rPr>
          <w:sz w:val="32"/>
          <w:lang w:val="fr-FR"/>
        </w:rPr>
        <w:t>”</w:t>
      </w:r>
      <w:r w:rsidR="00E9077E" w:rsidRPr="003872E4">
        <w:rPr>
          <w:rStyle w:val="Voetnootmarkering"/>
          <w:sz w:val="32"/>
        </w:rPr>
        <w:footnoteReference w:id="3"/>
      </w:r>
      <w:r w:rsidR="004F230A" w:rsidRPr="003872E4">
        <w:rPr>
          <w:sz w:val="32"/>
          <w:lang w:val="fr-FR"/>
        </w:rPr>
        <w:t xml:space="preserve"> </w:t>
      </w:r>
    </w:p>
    <w:p w:rsidR="002A61FB" w:rsidRPr="003872E4" w:rsidRDefault="002A61FB" w:rsidP="003558E1">
      <w:pPr>
        <w:pStyle w:val="Lijstalinea"/>
        <w:rPr>
          <w:sz w:val="32"/>
          <w:lang w:val="fr-FR"/>
        </w:rPr>
      </w:pPr>
    </w:p>
    <w:p w:rsidR="004F230A" w:rsidRPr="003872E4" w:rsidRDefault="00726D8D" w:rsidP="003558E1">
      <w:pPr>
        <w:pStyle w:val="Lijstalinea"/>
        <w:ind w:left="0"/>
        <w:rPr>
          <w:sz w:val="32"/>
        </w:rPr>
      </w:pPr>
      <w:r w:rsidRPr="003872E4">
        <w:rPr>
          <w:sz w:val="32"/>
        </w:rPr>
        <w:t xml:space="preserve">En toch, in </w:t>
      </w:r>
      <w:r w:rsidR="005B40F2" w:rsidRPr="003872E4">
        <w:rPr>
          <w:sz w:val="32"/>
        </w:rPr>
        <w:t>d</w:t>
      </w:r>
      <w:r w:rsidR="00EE55C9" w:rsidRPr="003872E4">
        <w:rPr>
          <w:sz w:val="32"/>
        </w:rPr>
        <w:t>eze inmiddels al gevorder</w:t>
      </w:r>
      <w:r w:rsidR="005B40F2" w:rsidRPr="003872E4">
        <w:rPr>
          <w:sz w:val="32"/>
        </w:rPr>
        <w:t>de éénentwintigste eeuw</w:t>
      </w:r>
      <w:r w:rsidR="00AA343B" w:rsidRPr="003872E4">
        <w:rPr>
          <w:sz w:val="32"/>
        </w:rPr>
        <w:t xml:space="preserve">, </w:t>
      </w:r>
      <w:r w:rsidR="00B121E4" w:rsidRPr="003872E4">
        <w:rPr>
          <w:sz w:val="32"/>
        </w:rPr>
        <w:t xml:space="preserve">lijkt het erop dat </w:t>
      </w:r>
      <w:r w:rsidR="00B121E4" w:rsidRPr="003872E4">
        <w:rPr>
          <w:i/>
          <w:sz w:val="32"/>
        </w:rPr>
        <w:t>le droit des juges</w:t>
      </w:r>
      <w:r w:rsidR="00B121E4" w:rsidRPr="003872E4">
        <w:rPr>
          <w:sz w:val="32"/>
        </w:rPr>
        <w:t xml:space="preserve"> </w:t>
      </w:r>
      <w:r w:rsidR="00B3132E" w:rsidRPr="003872E4">
        <w:rPr>
          <w:sz w:val="32"/>
        </w:rPr>
        <w:t xml:space="preserve">van </w:t>
      </w:r>
      <w:r w:rsidR="00A72F77" w:rsidRPr="003872E4">
        <w:rPr>
          <w:sz w:val="32"/>
        </w:rPr>
        <w:t>essentieel</w:t>
      </w:r>
      <w:r w:rsidR="00B3132E" w:rsidRPr="003872E4">
        <w:rPr>
          <w:sz w:val="32"/>
        </w:rPr>
        <w:t xml:space="preserve"> belang is geworden. Persoonlijk </w:t>
      </w:r>
      <w:r w:rsidR="00AA343B" w:rsidRPr="003872E4">
        <w:rPr>
          <w:sz w:val="32"/>
        </w:rPr>
        <w:t xml:space="preserve">stel ik grote hoop op de macht van de rechter – </w:t>
      </w:r>
      <w:r w:rsidR="008679C5" w:rsidRPr="003872E4">
        <w:rPr>
          <w:sz w:val="32"/>
        </w:rPr>
        <w:t>of</w:t>
      </w:r>
      <w:r w:rsidR="00AA343B" w:rsidRPr="003872E4">
        <w:rPr>
          <w:sz w:val="32"/>
        </w:rPr>
        <w:t xml:space="preserve">, om de formule van </w:t>
      </w:r>
      <w:r w:rsidR="00BE73CC" w:rsidRPr="003872E4">
        <w:rPr>
          <w:sz w:val="32"/>
        </w:rPr>
        <w:t xml:space="preserve">prof. </w:t>
      </w:r>
      <w:r w:rsidR="00AA343B" w:rsidRPr="003872E4">
        <w:rPr>
          <w:sz w:val="32"/>
        </w:rPr>
        <w:t xml:space="preserve">Van Gerven te </w:t>
      </w:r>
      <w:r w:rsidR="00747370" w:rsidRPr="003872E4">
        <w:rPr>
          <w:sz w:val="32"/>
        </w:rPr>
        <w:t xml:space="preserve">gebruiken, </w:t>
      </w:r>
      <w:r w:rsidR="00A72F77" w:rsidRPr="003872E4">
        <w:rPr>
          <w:sz w:val="32"/>
        </w:rPr>
        <w:t xml:space="preserve">op </w:t>
      </w:r>
      <w:r w:rsidR="00747370" w:rsidRPr="003872E4">
        <w:rPr>
          <w:sz w:val="32"/>
        </w:rPr>
        <w:t xml:space="preserve">het beleid van de rechter. </w:t>
      </w:r>
    </w:p>
    <w:p w:rsidR="00DA4773" w:rsidRPr="003872E4" w:rsidRDefault="00DA4773" w:rsidP="003558E1">
      <w:pPr>
        <w:pStyle w:val="Lijstalinea"/>
        <w:ind w:left="0"/>
        <w:rPr>
          <w:sz w:val="32"/>
        </w:rPr>
      </w:pPr>
    </w:p>
    <w:p w:rsidR="00EA6CAC" w:rsidRPr="003872E4" w:rsidRDefault="00B3132E" w:rsidP="003558E1">
      <w:pPr>
        <w:pStyle w:val="Lijstalinea"/>
        <w:ind w:left="0"/>
        <w:rPr>
          <w:sz w:val="32"/>
        </w:rPr>
      </w:pPr>
      <w:r w:rsidRPr="003872E4">
        <w:rPr>
          <w:sz w:val="32"/>
        </w:rPr>
        <w:t>Oh, er bestaat geen misverstand over, o</w:t>
      </w:r>
      <w:r w:rsidR="00560D16" w:rsidRPr="003872E4">
        <w:rPr>
          <w:sz w:val="32"/>
        </w:rPr>
        <w:t xml:space="preserve">nze </w:t>
      </w:r>
      <w:r w:rsidR="001A4558" w:rsidRPr="003872E4">
        <w:rPr>
          <w:sz w:val="32"/>
        </w:rPr>
        <w:t>wereld</w:t>
      </w:r>
      <w:r w:rsidR="00560D16" w:rsidRPr="003872E4">
        <w:rPr>
          <w:sz w:val="32"/>
        </w:rPr>
        <w:t xml:space="preserve"> is</w:t>
      </w:r>
      <w:r w:rsidR="00613B9E" w:rsidRPr="003872E4">
        <w:rPr>
          <w:sz w:val="32"/>
        </w:rPr>
        <w:t xml:space="preserve"> </w:t>
      </w:r>
      <w:r w:rsidR="00560D16" w:rsidRPr="003872E4">
        <w:rPr>
          <w:sz w:val="32"/>
        </w:rPr>
        <w:t xml:space="preserve">niet deze van het </w:t>
      </w:r>
      <w:r w:rsidR="00560D16" w:rsidRPr="003872E4">
        <w:rPr>
          <w:i/>
          <w:sz w:val="32"/>
        </w:rPr>
        <w:t>gouvernement des juges</w:t>
      </w:r>
      <w:r w:rsidR="0086688C" w:rsidRPr="003872E4">
        <w:rPr>
          <w:sz w:val="32"/>
        </w:rPr>
        <w:t>, maar</w:t>
      </w:r>
      <w:r w:rsidR="001A4558" w:rsidRPr="003872E4">
        <w:rPr>
          <w:sz w:val="32"/>
        </w:rPr>
        <w:t xml:space="preserve"> wel</w:t>
      </w:r>
      <w:r w:rsidR="00A66AF5" w:rsidRPr="003872E4">
        <w:rPr>
          <w:sz w:val="32"/>
        </w:rPr>
        <w:t xml:space="preserve"> deze</w:t>
      </w:r>
      <w:r w:rsidR="0086688C" w:rsidRPr="003872E4">
        <w:rPr>
          <w:sz w:val="32"/>
        </w:rPr>
        <w:t xml:space="preserve"> van de hegemonie van de uitvoerende macht. </w:t>
      </w:r>
      <w:r w:rsidR="008A6DE1" w:rsidRPr="003872E4">
        <w:rPr>
          <w:sz w:val="32"/>
        </w:rPr>
        <w:t xml:space="preserve">De uitvoerende macht, </w:t>
      </w:r>
      <w:r w:rsidR="00463CE6" w:rsidRPr="003872E4">
        <w:rPr>
          <w:sz w:val="32"/>
        </w:rPr>
        <w:t>naargelang</w:t>
      </w:r>
      <w:r w:rsidR="00C476CC" w:rsidRPr="003872E4">
        <w:rPr>
          <w:sz w:val="32"/>
        </w:rPr>
        <w:t xml:space="preserve"> de aan de macht zijnde coalitieregeringe</w:t>
      </w:r>
      <w:r w:rsidR="00463CE6" w:rsidRPr="003872E4">
        <w:rPr>
          <w:sz w:val="32"/>
        </w:rPr>
        <w:t xml:space="preserve">n, </w:t>
      </w:r>
      <w:r w:rsidR="00517C57" w:rsidRPr="003872E4">
        <w:rPr>
          <w:sz w:val="32"/>
        </w:rPr>
        <w:t xml:space="preserve">heeft </w:t>
      </w:r>
      <w:r w:rsidR="00463CE6" w:rsidRPr="003872E4">
        <w:rPr>
          <w:sz w:val="32"/>
        </w:rPr>
        <w:t xml:space="preserve">het parlement </w:t>
      </w:r>
      <w:r w:rsidR="00A37CEA" w:rsidRPr="003872E4">
        <w:rPr>
          <w:sz w:val="32"/>
        </w:rPr>
        <w:t xml:space="preserve">daadwerkelijke slagkracht </w:t>
      </w:r>
      <w:r w:rsidR="00552364" w:rsidRPr="003872E4">
        <w:rPr>
          <w:sz w:val="32"/>
        </w:rPr>
        <w:t>ontnomen</w:t>
      </w:r>
      <w:r w:rsidR="00B834C1" w:rsidRPr="003872E4">
        <w:rPr>
          <w:sz w:val="32"/>
        </w:rPr>
        <w:t xml:space="preserve">: het parlement krijgt manoeuvreerruimte in de mate waarin </w:t>
      </w:r>
      <w:r w:rsidR="0084169C" w:rsidRPr="003872E4">
        <w:rPr>
          <w:sz w:val="32"/>
        </w:rPr>
        <w:t xml:space="preserve">de </w:t>
      </w:r>
      <w:r w:rsidR="004262B6" w:rsidRPr="003872E4">
        <w:rPr>
          <w:sz w:val="32"/>
        </w:rPr>
        <w:t>coalitie</w:t>
      </w:r>
      <w:r w:rsidR="0084169C" w:rsidRPr="003872E4">
        <w:rPr>
          <w:sz w:val="32"/>
        </w:rPr>
        <w:t>regering niet in gevaar gebracht wordt</w:t>
      </w:r>
      <w:r w:rsidR="004262B6" w:rsidRPr="003872E4">
        <w:rPr>
          <w:sz w:val="32"/>
        </w:rPr>
        <w:t xml:space="preserve">, en het initiatief komt </w:t>
      </w:r>
      <w:r w:rsidR="00777D03" w:rsidRPr="003872E4">
        <w:rPr>
          <w:sz w:val="32"/>
        </w:rPr>
        <w:t>van de uitvoerende macht</w:t>
      </w:r>
      <w:r w:rsidR="00927F34" w:rsidRPr="003872E4">
        <w:rPr>
          <w:sz w:val="32"/>
        </w:rPr>
        <w:t>. Het parlement is reactief</w:t>
      </w:r>
      <w:r w:rsidR="008679C5" w:rsidRPr="003872E4">
        <w:rPr>
          <w:sz w:val="32"/>
        </w:rPr>
        <w:t>,</w:t>
      </w:r>
      <w:r w:rsidR="00927F34" w:rsidRPr="003872E4">
        <w:rPr>
          <w:sz w:val="32"/>
        </w:rPr>
        <w:t xml:space="preserve"> veel meer dan proactief. </w:t>
      </w:r>
    </w:p>
    <w:p w:rsidR="001A4558" w:rsidRPr="003872E4" w:rsidRDefault="001A4558" w:rsidP="003558E1">
      <w:pPr>
        <w:pStyle w:val="Lijstalinea"/>
        <w:ind w:left="0"/>
        <w:rPr>
          <w:sz w:val="32"/>
        </w:rPr>
      </w:pPr>
    </w:p>
    <w:p w:rsidR="00C0154C" w:rsidRPr="003872E4" w:rsidRDefault="007108C8" w:rsidP="003558E1">
      <w:pPr>
        <w:pStyle w:val="Lijstalinea"/>
        <w:ind w:left="0"/>
        <w:rPr>
          <w:sz w:val="32"/>
        </w:rPr>
      </w:pPr>
      <w:r w:rsidRPr="003872E4">
        <w:rPr>
          <w:sz w:val="32"/>
        </w:rPr>
        <w:t>Het belang van de rechter</w:t>
      </w:r>
      <w:r w:rsidR="00743CCD" w:rsidRPr="003872E4">
        <w:rPr>
          <w:sz w:val="32"/>
        </w:rPr>
        <w:t>lijke macht</w:t>
      </w:r>
      <w:r w:rsidRPr="003872E4">
        <w:rPr>
          <w:sz w:val="32"/>
        </w:rPr>
        <w:t xml:space="preserve"> </w:t>
      </w:r>
      <w:r w:rsidR="00927F34" w:rsidRPr="003872E4">
        <w:rPr>
          <w:sz w:val="32"/>
        </w:rPr>
        <w:t xml:space="preserve">in de </w:t>
      </w:r>
      <w:r w:rsidR="00927F34" w:rsidRPr="003872E4">
        <w:rPr>
          <w:i/>
          <w:sz w:val="32"/>
        </w:rPr>
        <w:t>checks and balances</w:t>
      </w:r>
      <w:r w:rsidR="00927F34" w:rsidRPr="003872E4">
        <w:rPr>
          <w:sz w:val="32"/>
        </w:rPr>
        <w:t xml:space="preserve"> van de rechtsstaat </w:t>
      </w:r>
      <w:r w:rsidRPr="003872E4">
        <w:rPr>
          <w:sz w:val="32"/>
        </w:rPr>
        <w:t xml:space="preserve">wordt er alleen maar groter op. </w:t>
      </w:r>
    </w:p>
    <w:p w:rsidR="00C0154C" w:rsidRPr="003872E4" w:rsidRDefault="00C0154C" w:rsidP="003558E1">
      <w:pPr>
        <w:pStyle w:val="Lijstalinea"/>
        <w:ind w:left="0"/>
        <w:rPr>
          <w:sz w:val="32"/>
        </w:rPr>
      </w:pPr>
    </w:p>
    <w:p w:rsidR="007F7581" w:rsidRPr="003872E4" w:rsidRDefault="007F7581" w:rsidP="003558E1">
      <w:pPr>
        <w:pStyle w:val="Lijstalinea"/>
        <w:ind w:left="0"/>
        <w:rPr>
          <w:sz w:val="32"/>
        </w:rPr>
      </w:pPr>
      <w:r w:rsidRPr="003872E4">
        <w:rPr>
          <w:sz w:val="32"/>
        </w:rPr>
        <w:t xml:space="preserve">De advocatuur moet erkennen dat het de rechters geweest zijn, die </w:t>
      </w:r>
      <w:r w:rsidR="0018404F" w:rsidRPr="003872E4">
        <w:rPr>
          <w:sz w:val="32"/>
        </w:rPr>
        <w:t>in het recente verleden het meeste gedaan hebben voor het behoud van de positie van de balie als onmisbare pijler van de rechtsstaat. Het is dank zij de luciditeit van hoge magistraten, die goed begrepen hebben dat zonder een behoorlijk functionerende, onafhankelijke balie, de rechtsstaat en de mensenrechten niets m</w:t>
      </w:r>
      <w:r w:rsidR="00C60877" w:rsidRPr="003872E4">
        <w:rPr>
          <w:sz w:val="32"/>
        </w:rPr>
        <w:t>éé</w:t>
      </w:r>
      <w:r w:rsidR="0018404F" w:rsidRPr="003872E4">
        <w:rPr>
          <w:sz w:val="32"/>
        </w:rPr>
        <w:t xml:space="preserve">r </w:t>
      </w:r>
      <w:r w:rsidR="00C60877" w:rsidRPr="003872E4">
        <w:rPr>
          <w:sz w:val="32"/>
        </w:rPr>
        <w:t>zijn</w:t>
      </w:r>
      <w:r w:rsidR="0018404F" w:rsidRPr="003872E4">
        <w:rPr>
          <w:sz w:val="32"/>
        </w:rPr>
        <w:t xml:space="preserve"> dan </w:t>
      </w:r>
      <w:r w:rsidR="00FA1B16" w:rsidRPr="003872E4">
        <w:rPr>
          <w:sz w:val="32"/>
        </w:rPr>
        <w:t xml:space="preserve">loze </w:t>
      </w:r>
      <w:r w:rsidR="0018404F" w:rsidRPr="003872E4">
        <w:rPr>
          <w:sz w:val="32"/>
        </w:rPr>
        <w:t>woord</w:t>
      </w:r>
      <w:r w:rsidR="00C60877" w:rsidRPr="003872E4">
        <w:rPr>
          <w:sz w:val="32"/>
        </w:rPr>
        <w:t xml:space="preserve">en. </w:t>
      </w:r>
    </w:p>
    <w:p w:rsidR="00C60877" w:rsidRPr="003872E4" w:rsidRDefault="00C60877" w:rsidP="003558E1">
      <w:pPr>
        <w:pStyle w:val="Lijstalinea"/>
        <w:ind w:left="0"/>
        <w:rPr>
          <w:sz w:val="32"/>
        </w:rPr>
      </w:pPr>
    </w:p>
    <w:p w:rsidR="000B2B55" w:rsidRPr="003872E4" w:rsidRDefault="006F7EE3" w:rsidP="003558E1">
      <w:pPr>
        <w:pStyle w:val="Lijstalinea"/>
        <w:ind w:left="0"/>
        <w:rPr>
          <w:sz w:val="32"/>
        </w:rPr>
      </w:pPr>
      <w:r w:rsidRPr="003872E4">
        <w:rPr>
          <w:sz w:val="32"/>
        </w:rPr>
        <w:t xml:space="preserve">Het </w:t>
      </w:r>
      <w:r w:rsidR="003A656F" w:rsidRPr="003872E4">
        <w:rPr>
          <w:sz w:val="32"/>
        </w:rPr>
        <w:t>is de rechterlijke macht</w:t>
      </w:r>
      <w:r w:rsidR="00CE7D85" w:rsidRPr="003872E4">
        <w:rPr>
          <w:sz w:val="32"/>
        </w:rPr>
        <w:t xml:space="preserve">, met name </w:t>
      </w:r>
      <w:r w:rsidR="00DD744C" w:rsidRPr="003872E4">
        <w:rPr>
          <w:sz w:val="32"/>
        </w:rPr>
        <w:t>het Hof van Cassatie, dat</w:t>
      </w:r>
      <w:r w:rsidR="00253C5F" w:rsidRPr="003872E4">
        <w:rPr>
          <w:sz w:val="32"/>
        </w:rPr>
        <w:t xml:space="preserve"> o.m.</w:t>
      </w:r>
      <w:r w:rsidR="00DD744C" w:rsidRPr="003872E4">
        <w:rPr>
          <w:sz w:val="32"/>
        </w:rPr>
        <w:t xml:space="preserve"> in zijn arrest van</w:t>
      </w:r>
      <w:r w:rsidR="00492DAE" w:rsidRPr="003872E4">
        <w:rPr>
          <w:sz w:val="32"/>
        </w:rPr>
        <w:t xml:space="preserve"> 13 juli 2010</w:t>
      </w:r>
      <w:r w:rsidR="00611CC6" w:rsidRPr="003872E4">
        <w:rPr>
          <w:sz w:val="32"/>
        </w:rPr>
        <w:t xml:space="preserve"> het principe bevestigde dat </w:t>
      </w:r>
      <w:r w:rsidR="00B605D1" w:rsidRPr="003872E4">
        <w:rPr>
          <w:sz w:val="32"/>
        </w:rPr>
        <w:t xml:space="preserve">het beroepsgeheim waaraan de leden van de balie zijn onderworpen, </w:t>
      </w:r>
      <w:r w:rsidR="00B605D1" w:rsidRPr="003872E4">
        <w:rPr>
          <w:sz w:val="32"/>
        </w:rPr>
        <w:lastRenderedPageBreak/>
        <w:t xml:space="preserve">berust op de noodzaak volledige veiligheid </w:t>
      </w:r>
      <w:r w:rsidR="0065089E" w:rsidRPr="003872E4">
        <w:rPr>
          <w:sz w:val="32"/>
        </w:rPr>
        <w:t xml:space="preserve">te bieden </w:t>
      </w:r>
      <w:r w:rsidR="00A36586" w:rsidRPr="003872E4">
        <w:rPr>
          <w:sz w:val="32"/>
        </w:rPr>
        <w:t>aan diegenen die zich aan hen toevertrouwen.</w:t>
      </w:r>
      <w:r w:rsidR="00A36586" w:rsidRPr="003872E4">
        <w:rPr>
          <w:rStyle w:val="Voetnootmarkering"/>
          <w:sz w:val="32"/>
        </w:rPr>
        <w:footnoteReference w:id="4"/>
      </w:r>
    </w:p>
    <w:p w:rsidR="000B2B55" w:rsidRPr="003872E4" w:rsidRDefault="000B2B55" w:rsidP="003558E1">
      <w:pPr>
        <w:pStyle w:val="Lijstalinea"/>
        <w:ind w:left="0"/>
        <w:rPr>
          <w:sz w:val="32"/>
        </w:rPr>
      </w:pPr>
    </w:p>
    <w:p w:rsidR="00C60877" w:rsidRPr="003872E4" w:rsidRDefault="00900B1C" w:rsidP="003558E1">
      <w:pPr>
        <w:pStyle w:val="Lijstalinea"/>
        <w:ind w:left="0"/>
        <w:rPr>
          <w:sz w:val="32"/>
        </w:rPr>
      </w:pPr>
      <w:r w:rsidRPr="003872E4">
        <w:rPr>
          <w:sz w:val="32"/>
        </w:rPr>
        <w:t xml:space="preserve">Het is datzelfde Hof van Cassatie dat in het </w:t>
      </w:r>
      <w:r w:rsidR="004165AB" w:rsidRPr="003872E4">
        <w:rPr>
          <w:sz w:val="32"/>
        </w:rPr>
        <w:t xml:space="preserve">zeer belangrijke </w:t>
      </w:r>
      <w:r w:rsidRPr="003872E4">
        <w:rPr>
          <w:sz w:val="32"/>
        </w:rPr>
        <w:t>arrest van 26</w:t>
      </w:r>
      <w:r w:rsidR="00795CD1" w:rsidRPr="003872E4">
        <w:rPr>
          <w:sz w:val="32"/>
        </w:rPr>
        <w:t xml:space="preserve"> oktober </w:t>
      </w:r>
      <w:r w:rsidR="00774EDA" w:rsidRPr="003872E4">
        <w:rPr>
          <w:sz w:val="32"/>
        </w:rPr>
        <w:t>2017</w:t>
      </w:r>
      <w:r w:rsidR="009B4A6D" w:rsidRPr="003872E4">
        <w:rPr>
          <w:rStyle w:val="Voetnootmarkering"/>
          <w:sz w:val="32"/>
        </w:rPr>
        <w:footnoteReference w:id="5"/>
      </w:r>
      <w:r w:rsidR="00774EDA" w:rsidRPr="003872E4">
        <w:rPr>
          <w:sz w:val="32"/>
        </w:rPr>
        <w:t xml:space="preserve"> beslist heeft dat het de stafhouder is die als enige kan beoordelen of een brief tussen advocaten vertrouwelijk is</w:t>
      </w:r>
      <w:r w:rsidR="00516F9B" w:rsidRPr="003872E4">
        <w:rPr>
          <w:sz w:val="32"/>
        </w:rPr>
        <w:t xml:space="preserve"> dan wel of hij dat vertrouwelijke karakter niet heeft</w:t>
      </w:r>
      <w:r w:rsidR="00CA1FFC" w:rsidRPr="003872E4">
        <w:rPr>
          <w:sz w:val="32"/>
        </w:rPr>
        <w:t xml:space="preserve"> en dus</w:t>
      </w:r>
      <w:r w:rsidR="00516F9B" w:rsidRPr="003872E4">
        <w:rPr>
          <w:sz w:val="32"/>
        </w:rPr>
        <w:t xml:space="preserve"> in rechte kan gebru</w:t>
      </w:r>
      <w:r w:rsidR="00CA1FFC" w:rsidRPr="003872E4">
        <w:rPr>
          <w:sz w:val="32"/>
        </w:rPr>
        <w:t xml:space="preserve">ikt worden. </w:t>
      </w:r>
      <w:r w:rsidRPr="003872E4">
        <w:rPr>
          <w:sz w:val="32"/>
        </w:rPr>
        <w:t xml:space="preserve">In </w:t>
      </w:r>
      <w:r w:rsidR="00CA1FFC" w:rsidRPr="003872E4">
        <w:rPr>
          <w:sz w:val="32"/>
        </w:rPr>
        <w:t xml:space="preserve">datzelfde arrest </w:t>
      </w:r>
      <w:r w:rsidRPr="003872E4">
        <w:rPr>
          <w:sz w:val="32"/>
        </w:rPr>
        <w:t>oordeelde</w:t>
      </w:r>
      <w:r w:rsidR="00CA1FFC" w:rsidRPr="003872E4">
        <w:rPr>
          <w:sz w:val="32"/>
        </w:rPr>
        <w:t xml:space="preserve"> het Hof dat</w:t>
      </w:r>
      <w:r w:rsidR="0054725B" w:rsidRPr="003872E4">
        <w:rPr>
          <w:sz w:val="32"/>
        </w:rPr>
        <w:t xml:space="preserve"> het</w:t>
      </w:r>
      <w:r w:rsidR="00CA1FFC" w:rsidRPr="003872E4">
        <w:rPr>
          <w:sz w:val="32"/>
        </w:rPr>
        <w:t xml:space="preserve"> </w:t>
      </w:r>
      <w:r w:rsidR="005455EC" w:rsidRPr="003872E4">
        <w:rPr>
          <w:sz w:val="32"/>
        </w:rPr>
        <w:t>“</w:t>
      </w:r>
      <w:r w:rsidR="005455EC" w:rsidRPr="003872E4">
        <w:rPr>
          <w:i/>
          <w:sz w:val="32"/>
        </w:rPr>
        <w:t>recht van verdediging impliceert ook het recht op bijstand van een advocaat hetgeen de vertrouwelijkheid van de briefwisseling met zich brengt</w:t>
      </w:r>
      <w:r w:rsidR="0054725B" w:rsidRPr="003872E4">
        <w:rPr>
          <w:sz w:val="32"/>
        </w:rPr>
        <w:t>”, en dat</w:t>
      </w:r>
      <w:r w:rsidR="005455EC" w:rsidRPr="003872E4">
        <w:rPr>
          <w:sz w:val="32"/>
        </w:rPr>
        <w:t xml:space="preserve"> </w:t>
      </w:r>
      <w:r w:rsidR="00A62B9D" w:rsidRPr="003872E4">
        <w:rPr>
          <w:sz w:val="32"/>
        </w:rPr>
        <w:t>het “</w:t>
      </w:r>
      <w:r w:rsidR="00CA1FFC" w:rsidRPr="003872E4">
        <w:rPr>
          <w:i/>
          <w:sz w:val="32"/>
        </w:rPr>
        <w:t>recht op bewijslevering kan worden beperkt door de vertrouwelijkheid van bepaalde briefwisseling.</w:t>
      </w:r>
      <w:r w:rsidR="0054725B" w:rsidRPr="003872E4">
        <w:rPr>
          <w:sz w:val="32"/>
        </w:rPr>
        <w:t>”</w:t>
      </w:r>
    </w:p>
    <w:p w:rsidR="00BB61BE" w:rsidRPr="003872E4" w:rsidRDefault="00BB61BE" w:rsidP="003558E1">
      <w:pPr>
        <w:pStyle w:val="Lijstalinea"/>
        <w:ind w:left="0"/>
        <w:rPr>
          <w:sz w:val="32"/>
        </w:rPr>
      </w:pPr>
    </w:p>
    <w:p w:rsidR="00BB61BE" w:rsidRPr="003872E4" w:rsidRDefault="00BB61BE" w:rsidP="003558E1">
      <w:pPr>
        <w:pStyle w:val="Lijstalinea"/>
        <w:ind w:left="0"/>
        <w:rPr>
          <w:sz w:val="32"/>
        </w:rPr>
      </w:pPr>
      <w:r w:rsidRPr="003872E4">
        <w:rPr>
          <w:sz w:val="32"/>
        </w:rPr>
        <w:t xml:space="preserve">Het zijn de rechters van het EHRM geweest, die o.m. in de zaak </w:t>
      </w:r>
      <w:r w:rsidRPr="003872E4">
        <w:rPr>
          <w:i/>
          <w:sz w:val="32"/>
        </w:rPr>
        <w:t>Michaud</w:t>
      </w:r>
      <w:r w:rsidR="007F09DA" w:rsidRPr="003872E4">
        <w:rPr>
          <w:i/>
          <w:sz w:val="32"/>
        </w:rPr>
        <w:t xml:space="preserve"> t. Frankrijk</w:t>
      </w:r>
      <w:r w:rsidR="000E6E1D" w:rsidRPr="003872E4">
        <w:rPr>
          <w:sz w:val="32"/>
        </w:rPr>
        <w:t xml:space="preserve"> in 2012</w:t>
      </w:r>
      <w:r w:rsidR="007F09DA" w:rsidRPr="003872E4">
        <w:rPr>
          <w:sz w:val="32"/>
        </w:rPr>
        <w:t xml:space="preserve"> geoordeeld hebben dat het beroepsgeheim van de advocaat</w:t>
      </w:r>
      <w:r w:rsidR="0054757B" w:rsidRPr="003872E4">
        <w:rPr>
          <w:sz w:val="32"/>
        </w:rPr>
        <w:t xml:space="preserve"> “</w:t>
      </w:r>
      <w:r w:rsidR="0054757B" w:rsidRPr="003872E4">
        <w:rPr>
          <w:i/>
          <w:sz w:val="32"/>
        </w:rPr>
        <w:t xml:space="preserve">één van de grondbeginselen </w:t>
      </w:r>
      <w:r w:rsidR="006E0E01" w:rsidRPr="003872E4">
        <w:rPr>
          <w:i/>
          <w:sz w:val="32"/>
        </w:rPr>
        <w:t>[vormt] waarop de organisatie van het gerecht in een democratische samenleving berust</w:t>
      </w:r>
      <w:r w:rsidR="006E0E01" w:rsidRPr="003872E4">
        <w:rPr>
          <w:sz w:val="32"/>
        </w:rPr>
        <w:t>.</w:t>
      </w:r>
      <w:r w:rsidR="000E6E1D" w:rsidRPr="003872E4">
        <w:rPr>
          <w:sz w:val="32"/>
        </w:rPr>
        <w:t>”</w:t>
      </w:r>
      <w:r w:rsidR="000E6E1D" w:rsidRPr="003872E4">
        <w:rPr>
          <w:rStyle w:val="Voetnootmarkering"/>
          <w:sz w:val="32"/>
        </w:rPr>
        <w:footnoteReference w:id="6"/>
      </w:r>
    </w:p>
    <w:p w:rsidR="003D5A6F" w:rsidRPr="003872E4" w:rsidRDefault="003D5A6F" w:rsidP="003558E1">
      <w:pPr>
        <w:pStyle w:val="Lijstalinea"/>
        <w:ind w:left="0"/>
        <w:rPr>
          <w:sz w:val="32"/>
        </w:rPr>
      </w:pPr>
    </w:p>
    <w:p w:rsidR="00FF6249" w:rsidRPr="003872E4" w:rsidRDefault="00FF6249" w:rsidP="003558E1">
      <w:pPr>
        <w:pStyle w:val="Lijstalinea"/>
        <w:ind w:left="0"/>
        <w:rPr>
          <w:sz w:val="32"/>
        </w:rPr>
      </w:pPr>
      <w:r w:rsidRPr="003872E4">
        <w:rPr>
          <w:sz w:val="32"/>
        </w:rPr>
        <w:t xml:space="preserve">De aanvallen vanuit de uitvoerende macht, hierin – laat mij toe dit te zeggen – slaafs gevolgd door een meerderheid in het parlement, zijn anders niet min. </w:t>
      </w:r>
    </w:p>
    <w:p w:rsidR="00FF6249" w:rsidRPr="003872E4" w:rsidRDefault="00FF6249" w:rsidP="003558E1">
      <w:pPr>
        <w:pStyle w:val="Lijstalinea"/>
        <w:ind w:left="0"/>
        <w:rPr>
          <w:sz w:val="32"/>
        </w:rPr>
      </w:pPr>
    </w:p>
    <w:p w:rsidR="00FF6249" w:rsidRPr="003872E4" w:rsidRDefault="00FF6249" w:rsidP="003558E1">
      <w:pPr>
        <w:pStyle w:val="Lijstalinea"/>
        <w:ind w:left="0"/>
        <w:rPr>
          <w:sz w:val="32"/>
        </w:rPr>
      </w:pPr>
      <w:r w:rsidRPr="003872E4">
        <w:rPr>
          <w:sz w:val="32"/>
        </w:rPr>
        <w:t xml:space="preserve">De advocaten, die natuurlijk de ontvangers en behoeders zijn van allerlei vertrouwelijke informatie, onder andere over de vermogenstoestand van belastingplichtigen, worden direct geviseerd. Zij kunnen de Staat bijzonder nuttige inlichtingen bezorgen en worden dus, in de geest van de wetgever die niet meer weet wat een rechtsstaat is, de verlengde arm van de politie of, waarom niet, de fiscus. Wat de overheid zelf niet kan, laat zij doen door verklikkers, en een betere tipgever dan de advocaat kun je moeilijk bedenken. Vooruit met de geit dus, zo dacht de wetgever – daartoe geïnspireerd </w:t>
      </w:r>
      <w:r w:rsidRPr="003872E4">
        <w:rPr>
          <w:sz w:val="32"/>
        </w:rPr>
        <w:lastRenderedPageBreak/>
        <w:t>door de Europese richtlijngever en de Belgische uitvoerende macht – de advocaten zullen voortaan informanten worden van de Staat.</w:t>
      </w:r>
    </w:p>
    <w:p w:rsidR="00FF6249" w:rsidRPr="003872E4" w:rsidRDefault="00FF6249" w:rsidP="003558E1">
      <w:pPr>
        <w:pStyle w:val="Lijstalinea"/>
        <w:ind w:left="0"/>
        <w:rPr>
          <w:sz w:val="32"/>
        </w:rPr>
      </w:pPr>
    </w:p>
    <w:p w:rsidR="003D5A6F" w:rsidRPr="003872E4" w:rsidRDefault="00FF6249" w:rsidP="003558E1">
      <w:pPr>
        <w:pStyle w:val="Lijstalinea"/>
        <w:ind w:left="0"/>
        <w:rPr>
          <w:sz w:val="32"/>
        </w:rPr>
      </w:pPr>
      <w:r w:rsidRPr="003872E4">
        <w:rPr>
          <w:sz w:val="32"/>
        </w:rPr>
        <w:t>Het begon met de anti</w:t>
      </w:r>
      <w:r w:rsidR="00ED0BF8">
        <w:rPr>
          <w:sz w:val="32"/>
        </w:rPr>
        <w:t>-</w:t>
      </w:r>
      <w:r w:rsidRPr="003872E4">
        <w:rPr>
          <w:sz w:val="32"/>
        </w:rPr>
        <w:t>witwaswet, een inktvlekwet die voortdurend aangepast wordt en steeds verder gaat.</w:t>
      </w:r>
      <w:r w:rsidRPr="003872E4">
        <w:rPr>
          <w:rStyle w:val="Voetnootmarkering"/>
          <w:sz w:val="32"/>
        </w:rPr>
        <w:footnoteReference w:id="7"/>
      </w:r>
      <w:r w:rsidRPr="003872E4">
        <w:rPr>
          <w:sz w:val="32"/>
        </w:rPr>
        <w:t xml:space="preserve"> Deze legde de advocaten meldingsplichten bij het vaststellen van vermoedens van witwaspraktijken. D</w:t>
      </w:r>
      <w:r w:rsidR="00FB23BE" w:rsidRPr="003872E4">
        <w:rPr>
          <w:sz w:val="32"/>
        </w:rPr>
        <w:t xml:space="preserve">e </w:t>
      </w:r>
      <w:r w:rsidR="008E5460" w:rsidRPr="003872E4">
        <w:rPr>
          <w:sz w:val="32"/>
        </w:rPr>
        <w:t>rechters</w:t>
      </w:r>
      <w:r w:rsidR="00FB23BE" w:rsidRPr="003872E4">
        <w:rPr>
          <w:sz w:val="32"/>
        </w:rPr>
        <w:t xml:space="preserve"> van het Grondwettelijk Hof </w:t>
      </w:r>
      <w:r w:rsidRPr="003872E4">
        <w:rPr>
          <w:sz w:val="32"/>
        </w:rPr>
        <w:t>zijn nodig geweest om te</w:t>
      </w:r>
      <w:r w:rsidR="008E5460" w:rsidRPr="003872E4">
        <w:rPr>
          <w:sz w:val="32"/>
        </w:rPr>
        <w:t xml:space="preserve"> </w:t>
      </w:r>
      <w:r w:rsidR="008C011D" w:rsidRPr="003872E4">
        <w:rPr>
          <w:sz w:val="32"/>
        </w:rPr>
        <w:t xml:space="preserve">bevestigen, </w:t>
      </w:r>
      <w:r w:rsidR="008E5460" w:rsidRPr="003872E4">
        <w:rPr>
          <w:sz w:val="32"/>
        </w:rPr>
        <w:t xml:space="preserve">in de </w:t>
      </w:r>
      <w:r w:rsidR="00C30199" w:rsidRPr="003872E4">
        <w:rPr>
          <w:sz w:val="32"/>
        </w:rPr>
        <w:t xml:space="preserve">twee </w:t>
      </w:r>
      <w:r w:rsidR="004165AB" w:rsidRPr="003872E4">
        <w:rPr>
          <w:sz w:val="32"/>
        </w:rPr>
        <w:t>mijlpaal</w:t>
      </w:r>
      <w:r w:rsidR="008E5460" w:rsidRPr="003872E4">
        <w:rPr>
          <w:sz w:val="32"/>
        </w:rPr>
        <w:t xml:space="preserve">arresten </w:t>
      </w:r>
      <w:r w:rsidR="00FB23BE" w:rsidRPr="003872E4">
        <w:rPr>
          <w:sz w:val="32"/>
        </w:rPr>
        <w:t xml:space="preserve">van </w:t>
      </w:r>
      <w:r w:rsidR="002F2BDB" w:rsidRPr="003872E4">
        <w:rPr>
          <w:sz w:val="32"/>
        </w:rPr>
        <w:t>2008</w:t>
      </w:r>
      <w:r w:rsidR="004165AB" w:rsidRPr="003872E4">
        <w:rPr>
          <w:sz w:val="32"/>
        </w:rPr>
        <w:t>, die elke advocaat moet gelezen hebben (hint naar de stagiairs)</w:t>
      </w:r>
      <w:r w:rsidR="002C24CE" w:rsidRPr="003872E4">
        <w:rPr>
          <w:sz w:val="32"/>
        </w:rPr>
        <w:t xml:space="preserve">, </w:t>
      </w:r>
      <w:r w:rsidR="00233E35" w:rsidRPr="003872E4">
        <w:rPr>
          <w:sz w:val="32"/>
        </w:rPr>
        <w:t>“</w:t>
      </w:r>
      <w:r w:rsidR="000D11F2" w:rsidRPr="003872E4">
        <w:rPr>
          <w:i/>
          <w:sz w:val="32"/>
        </w:rPr>
        <w:t>dat de gegevens die de advocaat verneemt tijdens de uitoefening van de wezenlijke</w:t>
      </w:r>
      <w:r w:rsidR="00A667E8" w:rsidRPr="003872E4">
        <w:rPr>
          <w:i/>
          <w:sz w:val="32"/>
        </w:rPr>
        <w:t xml:space="preserve"> activiteiten van zijn beroep (…), namelijk het verdedigen in rechte</w:t>
      </w:r>
      <w:r w:rsidR="00BE03B2" w:rsidRPr="003872E4">
        <w:rPr>
          <w:i/>
          <w:sz w:val="32"/>
        </w:rPr>
        <w:t xml:space="preserve"> van de cliënt en het verlenen van juridisch advies, zelfs buiten elk rechtsgeding, door het beroepsgeheim gedekt blijven en dus niet ter kennis kunnen worden </w:t>
      </w:r>
      <w:r w:rsidR="00233E35" w:rsidRPr="003872E4">
        <w:rPr>
          <w:i/>
          <w:sz w:val="32"/>
        </w:rPr>
        <w:t xml:space="preserve">gebracht </w:t>
      </w:r>
      <w:r w:rsidR="00BE03B2" w:rsidRPr="003872E4">
        <w:rPr>
          <w:i/>
          <w:sz w:val="32"/>
        </w:rPr>
        <w:t xml:space="preserve">van </w:t>
      </w:r>
      <w:r w:rsidR="00233E35" w:rsidRPr="003872E4">
        <w:rPr>
          <w:i/>
          <w:sz w:val="32"/>
        </w:rPr>
        <w:t>de overheden.</w:t>
      </w:r>
      <w:r w:rsidR="00233E35" w:rsidRPr="003872E4">
        <w:rPr>
          <w:sz w:val="32"/>
        </w:rPr>
        <w:t>”</w:t>
      </w:r>
      <w:r w:rsidR="00817286" w:rsidRPr="003872E4">
        <w:rPr>
          <w:rStyle w:val="Voetnootmarkering"/>
          <w:sz w:val="32"/>
        </w:rPr>
        <w:footnoteReference w:id="8"/>
      </w:r>
      <w:r w:rsidR="00262FE4" w:rsidRPr="003872E4">
        <w:rPr>
          <w:sz w:val="32"/>
        </w:rPr>
        <w:t xml:space="preserve"> </w:t>
      </w:r>
      <w:r w:rsidR="00076E45" w:rsidRPr="003872E4">
        <w:rPr>
          <w:sz w:val="32"/>
        </w:rPr>
        <w:t xml:space="preserve">Dat </w:t>
      </w:r>
      <w:r w:rsidR="008F4A76" w:rsidRPr="003872E4">
        <w:rPr>
          <w:sz w:val="32"/>
        </w:rPr>
        <w:t>verstrekken</w:t>
      </w:r>
      <w:r w:rsidR="00076E45" w:rsidRPr="003872E4">
        <w:rPr>
          <w:sz w:val="32"/>
        </w:rPr>
        <w:t xml:space="preserve"> van juridisch advies</w:t>
      </w:r>
      <w:r w:rsidR="008F4A76" w:rsidRPr="003872E4">
        <w:rPr>
          <w:sz w:val="32"/>
        </w:rPr>
        <w:t xml:space="preserve"> omvat niet alleen het advies over een bestaande toestand waarin de cliënt zich bevindt, maar eveneens, volgens het Grondwettelijk Hof</w:t>
      </w:r>
      <w:r w:rsidR="00A61B2F" w:rsidRPr="003872E4">
        <w:rPr>
          <w:sz w:val="32"/>
        </w:rPr>
        <w:t xml:space="preserve">, maar ook over een </w:t>
      </w:r>
      <w:r w:rsidR="00BD0B61" w:rsidRPr="003872E4">
        <w:rPr>
          <w:sz w:val="32"/>
        </w:rPr>
        <w:t>“</w:t>
      </w:r>
      <w:r w:rsidR="00A61B2F" w:rsidRPr="003872E4">
        <w:rPr>
          <w:i/>
          <w:sz w:val="32"/>
        </w:rPr>
        <w:t xml:space="preserve">verrichting </w:t>
      </w:r>
      <w:r w:rsidR="00BD0B61" w:rsidRPr="003872E4">
        <w:rPr>
          <w:i/>
          <w:sz w:val="32"/>
        </w:rPr>
        <w:t>die de cliënt overweegt</w:t>
      </w:r>
      <w:r w:rsidR="0000593F" w:rsidRPr="003872E4">
        <w:rPr>
          <w:sz w:val="32"/>
        </w:rPr>
        <w:t>”, of om “</w:t>
      </w:r>
      <w:r w:rsidR="0000593F" w:rsidRPr="003872E4">
        <w:rPr>
          <w:i/>
          <w:sz w:val="32"/>
        </w:rPr>
        <w:t>hem te adviseren over de wijze waarop die verrichting</w:t>
      </w:r>
      <w:r w:rsidR="00F4140A" w:rsidRPr="003872E4">
        <w:rPr>
          <w:i/>
          <w:sz w:val="32"/>
        </w:rPr>
        <w:t xml:space="preserve"> binnen het wettelijk kader kan worden uitgevoerd</w:t>
      </w:r>
      <w:r w:rsidR="00F4140A" w:rsidRPr="003872E4">
        <w:rPr>
          <w:sz w:val="32"/>
        </w:rPr>
        <w:t>.”</w:t>
      </w:r>
      <w:r w:rsidR="00BA3F25" w:rsidRPr="003872E4">
        <w:rPr>
          <w:rStyle w:val="Voetnootmarkering"/>
          <w:sz w:val="32"/>
        </w:rPr>
        <w:footnoteReference w:id="9"/>
      </w:r>
    </w:p>
    <w:p w:rsidR="000F0A12" w:rsidRPr="003872E4" w:rsidRDefault="000F0A12" w:rsidP="003558E1">
      <w:pPr>
        <w:pStyle w:val="Lijstalinea"/>
        <w:ind w:left="0"/>
        <w:rPr>
          <w:sz w:val="32"/>
        </w:rPr>
      </w:pPr>
    </w:p>
    <w:p w:rsidR="000F0A12" w:rsidRPr="003872E4" w:rsidRDefault="00EC6FD3" w:rsidP="003558E1">
      <w:pPr>
        <w:pStyle w:val="Lijstalinea"/>
        <w:ind w:left="0"/>
        <w:rPr>
          <w:sz w:val="32"/>
        </w:rPr>
      </w:pPr>
      <w:r w:rsidRPr="003872E4">
        <w:rPr>
          <w:sz w:val="32"/>
        </w:rPr>
        <w:t xml:space="preserve">Zonder deze dam, die rechters </w:t>
      </w:r>
      <w:r w:rsidR="00627951" w:rsidRPr="003872E4">
        <w:rPr>
          <w:sz w:val="32"/>
        </w:rPr>
        <w:t xml:space="preserve">opgeworpen hebben </w:t>
      </w:r>
      <w:r w:rsidRPr="003872E4">
        <w:rPr>
          <w:sz w:val="32"/>
        </w:rPr>
        <w:t xml:space="preserve">voor de balie </w:t>
      </w:r>
      <w:r w:rsidR="00B65446" w:rsidRPr="003872E4">
        <w:rPr>
          <w:sz w:val="32"/>
        </w:rPr>
        <w:t xml:space="preserve">in het bijzonder </w:t>
      </w:r>
      <w:r w:rsidRPr="003872E4">
        <w:rPr>
          <w:sz w:val="32"/>
        </w:rPr>
        <w:t xml:space="preserve">– en </w:t>
      </w:r>
      <w:r w:rsidR="00B65446" w:rsidRPr="003872E4">
        <w:rPr>
          <w:sz w:val="32"/>
        </w:rPr>
        <w:t xml:space="preserve">voor </w:t>
      </w:r>
      <w:r w:rsidRPr="003872E4">
        <w:rPr>
          <w:sz w:val="32"/>
        </w:rPr>
        <w:t>de maatschappelijke ordening</w:t>
      </w:r>
      <w:r w:rsidR="00B65446" w:rsidRPr="003872E4">
        <w:rPr>
          <w:sz w:val="32"/>
        </w:rPr>
        <w:t xml:space="preserve"> in het algemeen</w:t>
      </w:r>
      <w:r w:rsidRPr="003872E4">
        <w:rPr>
          <w:sz w:val="32"/>
        </w:rPr>
        <w:t xml:space="preserve"> –, zou ons beroep er helemaal anders uitgezien hebben. </w:t>
      </w:r>
      <w:r w:rsidR="003429D7" w:rsidRPr="003872E4">
        <w:rPr>
          <w:sz w:val="32"/>
        </w:rPr>
        <w:t xml:space="preserve">Een dergelijk </w:t>
      </w:r>
      <w:r w:rsidR="00567CCA" w:rsidRPr="003872E4">
        <w:rPr>
          <w:i/>
          <w:sz w:val="32"/>
        </w:rPr>
        <w:t>droit des juges</w:t>
      </w:r>
      <w:r w:rsidR="00567CCA" w:rsidRPr="003872E4">
        <w:rPr>
          <w:sz w:val="32"/>
        </w:rPr>
        <w:t xml:space="preserve">, dames en heren, ik teken ervoor. </w:t>
      </w:r>
    </w:p>
    <w:p w:rsidR="002C7A5A" w:rsidRPr="003872E4" w:rsidRDefault="002C7A5A" w:rsidP="003558E1">
      <w:pPr>
        <w:pStyle w:val="Lijstalinea"/>
        <w:ind w:left="0"/>
        <w:rPr>
          <w:sz w:val="32"/>
        </w:rPr>
      </w:pPr>
    </w:p>
    <w:p w:rsidR="002C7A5A" w:rsidRPr="003872E4" w:rsidRDefault="002A3E6E" w:rsidP="003558E1">
      <w:pPr>
        <w:pStyle w:val="Lijstalinea"/>
        <w:ind w:left="0"/>
        <w:rPr>
          <w:sz w:val="32"/>
        </w:rPr>
      </w:pPr>
      <w:r w:rsidRPr="003872E4">
        <w:rPr>
          <w:sz w:val="32"/>
        </w:rPr>
        <w:t xml:space="preserve">Het is daar niet bij gebleven. </w:t>
      </w:r>
    </w:p>
    <w:p w:rsidR="00060D80" w:rsidRPr="003872E4" w:rsidRDefault="00060D80" w:rsidP="003558E1">
      <w:pPr>
        <w:pStyle w:val="Lijstalinea"/>
        <w:ind w:left="0"/>
        <w:rPr>
          <w:sz w:val="32"/>
        </w:rPr>
      </w:pPr>
    </w:p>
    <w:p w:rsidR="00060D80" w:rsidRPr="003872E4" w:rsidRDefault="002D776A" w:rsidP="003558E1">
      <w:pPr>
        <w:pStyle w:val="Lijstalinea"/>
        <w:ind w:left="0"/>
        <w:rPr>
          <w:sz w:val="32"/>
        </w:rPr>
      </w:pPr>
      <w:r w:rsidRPr="003872E4">
        <w:rPr>
          <w:sz w:val="32"/>
        </w:rPr>
        <w:t>H</w:t>
      </w:r>
      <w:r w:rsidR="00A1091D" w:rsidRPr="003872E4">
        <w:rPr>
          <w:sz w:val="32"/>
        </w:rPr>
        <w:t xml:space="preserve">et KB van 30 juli </w:t>
      </w:r>
      <w:r w:rsidR="00FA52BB" w:rsidRPr="003872E4">
        <w:rPr>
          <w:sz w:val="32"/>
        </w:rPr>
        <w:t xml:space="preserve">2018 </w:t>
      </w:r>
      <w:r w:rsidR="00FA52BB" w:rsidRPr="003872E4">
        <w:rPr>
          <w:i/>
          <w:sz w:val="32"/>
        </w:rPr>
        <w:t>betreffende de werkingsmodaliteiten van het UBO-register</w:t>
      </w:r>
      <w:r w:rsidR="00FA52BB" w:rsidRPr="003872E4">
        <w:rPr>
          <w:sz w:val="32"/>
        </w:rPr>
        <w:t xml:space="preserve"> – u weet wel, het register van de </w:t>
      </w:r>
      <w:r w:rsidR="003A1C0C" w:rsidRPr="003872E4">
        <w:rPr>
          <w:sz w:val="32"/>
        </w:rPr>
        <w:t>uiteindelijk begunstigden van vennootschappen</w:t>
      </w:r>
      <w:r w:rsidR="008048BB" w:rsidRPr="003872E4">
        <w:rPr>
          <w:sz w:val="32"/>
        </w:rPr>
        <w:t xml:space="preserve"> en andere </w:t>
      </w:r>
      <w:r w:rsidRPr="003872E4">
        <w:rPr>
          <w:sz w:val="32"/>
        </w:rPr>
        <w:t xml:space="preserve">juridische entiteiten – </w:t>
      </w:r>
      <w:r w:rsidRPr="003872E4">
        <w:rPr>
          <w:sz w:val="32"/>
        </w:rPr>
        <w:lastRenderedPageBreak/>
        <w:t>bepaalt</w:t>
      </w:r>
      <w:r w:rsidR="00FD690D" w:rsidRPr="003872E4">
        <w:rPr>
          <w:rStyle w:val="Voetnootmarkering"/>
          <w:sz w:val="32"/>
        </w:rPr>
        <w:footnoteReference w:id="10"/>
      </w:r>
      <w:r w:rsidR="00A11788" w:rsidRPr="003872E4">
        <w:rPr>
          <w:sz w:val="32"/>
        </w:rPr>
        <w:t xml:space="preserve">, in uitvoering van </w:t>
      </w:r>
      <w:r w:rsidR="00D71F01" w:rsidRPr="003872E4">
        <w:rPr>
          <w:sz w:val="32"/>
        </w:rPr>
        <w:t>diezelfde</w:t>
      </w:r>
      <w:r w:rsidR="00A11788" w:rsidRPr="003872E4">
        <w:rPr>
          <w:sz w:val="32"/>
        </w:rPr>
        <w:t xml:space="preserve"> antiwitwaswet, </w:t>
      </w:r>
      <w:r w:rsidRPr="003872E4">
        <w:rPr>
          <w:sz w:val="32"/>
        </w:rPr>
        <w:t xml:space="preserve">dat </w:t>
      </w:r>
      <w:r w:rsidR="00FD690D" w:rsidRPr="003872E4">
        <w:rPr>
          <w:sz w:val="32"/>
        </w:rPr>
        <w:t xml:space="preserve">wanneer een onderworpen entiteit (advocaten zijn onderworpen entiteiten) </w:t>
      </w:r>
      <w:r w:rsidR="00A12C0F" w:rsidRPr="003872E4">
        <w:rPr>
          <w:sz w:val="32"/>
        </w:rPr>
        <w:t>enig</w:t>
      </w:r>
      <w:r w:rsidR="00A1525A" w:rsidRPr="003872E4">
        <w:rPr>
          <w:sz w:val="32"/>
        </w:rPr>
        <w:t xml:space="preserve"> verschil vaststelt tussen de in het UBO-register opgenomen informatie – betreffende de cliënt – d</w:t>
      </w:r>
      <w:r w:rsidR="00A12C0F" w:rsidRPr="003872E4">
        <w:rPr>
          <w:sz w:val="32"/>
        </w:rPr>
        <w:t>e verschillen moet melden aan de Administratie van de Thesaurie</w:t>
      </w:r>
      <w:r w:rsidR="00042913" w:rsidRPr="003872E4">
        <w:rPr>
          <w:sz w:val="32"/>
        </w:rPr>
        <w:t xml:space="preserve">. U stelt vast dat uw cliënt zijn UBO in het register anders heeft geïdentificeerd dan u zelf vaststelt: u moet dit melden aan de overheid. Nergens wordt enige uitzondering voorzien. </w:t>
      </w:r>
    </w:p>
    <w:p w:rsidR="00D71F01" w:rsidRPr="003872E4" w:rsidRDefault="00D71F01" w:rsidP="003558E1">
      <w:pPr>
        <w:pStyle w:val="Lijstalinea"/>
        <w:ind w:left="0"/>
        <w:rPr>
          <w:sz w:val="32"/>
        </w:rPr>
      </w:pPr>
    </w:p>
    <w:p w:rsidR="002D6474" w:rsidRPr="003872E4" w:rsidRDefault="00D71F01" w:rsidP="003558E1">
      <w:pPr>
        <w:pStyle w:val="Lijstalinea"/>
        <w:ind w:left="0"/>
        <w:rPr>
          <w:sz w:val="32"/>
        </w:rPr>
      </w:pPr>
      <w:r w:rsidRPr="003872E4">
        <w:rPr>
          <w:sz w:val="32"/>
        </w:rPr>
        <w:t xml:space="preserve">De Orde van Vlaamse Balies heeft tegen deze bepaling gelukkig een vernietigingsberoep ingediend bij de Raad van State. Ik durf hopen dat wij andermaal op rechters, deze keer de </w:t>
      </w:r>
      <w:r w:rsidR="00ED0BF8">
        <w:rPr>
          <w:sz w:val="32"/>
        </w:rPr>
        <w:t>staatsraden</w:t>
      </w:r>
      <w:r w:rsidRPr="003872E4">
        <w:rPr>
          <w:sz w:val="32"/>
        </w:rPr>
        <w:t xml:space="preserve"> van de Raad van State</w:t>
      </w:r>
      <w:r w:rsidR="00ED0BF8">
        <w:rPr>
          <w:sz w:val="32"/>
        </w:rPr>
        <w:t>,</w:t>
      </w:r>
      <w:r w:rsidRPr="003872E4">
        <w:rPr>
          <w:sz w:val="32"/>
        </w:rPr>
        <w:t xml:space="preserve"> zullen mogen rekenen om deze nieuwe ongenuanceerde aanval op een fundament van de rechtsstaat recht te zetten.</w:t>
      </w:r>
    </w:p>
    <w:p w:rsidR="00D71F01" w:rsidRPr="003872E4" w:rsidRDefault="00D71F01" w:rsidP="003558E1">
      <w:pPr>
        <w:pStyle w:val="Lijstalinea"/>
        <w:ind w:left="0"/>
        <w:rPr>
          <w:sz w:val="32"/>
        </w:rPr>
      </w:pPr>
    </w:p>
    <w:p w:rsidR="002D6474" w:rsidRPr="003872E4" w:rsidRDefault="00A11788" w:rsidP="003558E1">
      <w:pPr>
        <w:pStyle w:val="Lijstalinea"/>
        <w:ind w:left="0"/>
        <w:rPr>
          <w:sz w:val="32"/>
        </w:rPr>
      </w:pPr>
      <w:r w:rsidRPr="003872E4">
        <w:rPr>
          <w:sz w:val="32"/>
        </w:rPr>
        <w:t>Nu, de antiwitwaswet strekt tot het indijken</w:t>
      </w:r>
      <w:r w:rsidR="00201BEE" w:rsidRPr="003872E4">
        <w:rPr>
          <w:sz w:val="32"/>
        </w:rPr>
        <w:t xml:space="preserve"> van crimineel gedrag. De gehanteerde methodes kunnen dan aanleiding geven tot kritiek, het toegegeven doel is eerbaar. </w:t>
      </w:r>
    </w:p>
    <w:p w:rsidR="00201BEE" w:rsidRPr="003872E4" w:rsidRDefault="00201BEE" w:rsidP="003558E1">
      <w:pPr>
        <w:pStyle w:val="Lijstalinea"/>
        <w:ind w:left="0"/>
        <w:rPr>
          <w:sz w:val="32"/>
        </w:rPr>
      </w:pPr>
    </w:p>
    <w:p w:rsidR="00201BEE" w:rsidRPr="003872E4" w:rsidRDefault="00201BEE" w:rsidP="003558E1">
      <w:pPr>
        <w:pStyle w:val="Lijstalinea"/>
        <w:ind w:left="0"/>
        <w:rPr>
          <w:sz w:val="32"/>
        </w:rPr>
      </w:pPr>
      <w:r w:rsidRPr="003872E4">
        <w:rPr>
          <w:sz w:val="32"/>
        </w:rPr>
        <w:t>Erger wordt het wanneer de overheid de advocaten dwingt tot het verklikken van perfect wettige gedragingen, gedragingen die op geen enkele manier enige wet overtreden. Dat riskeert te gebeuren bij de omzetting van de zogenaamde “DAC-6”-</w:t>
      </w:r>
      <w:r w:rsidR="00D71F01" w:rsidRPr="003872E4">
        <w:rPr>
          <w:sz w:val="32"/>
        </w:rPr>
        <w:t>R</w:t>
      </w:r>
      <w:r w:rsidRPr="003872E4">
        <w:rPr>
          <w:sz w:val="32"/>
        </w:rPr>
        <w:t>ichtlijn, d.i. de EU-Richtlijn</w:t>
      </w:r>
      <w:r w:rsidR="00ED0BF8">
        <w:rPr>
          <w:sz w:val="32"/>
        </w:rPr>
        <w:t xml:space="preserve"> ‘</w:t>
      </w:r>
      <w:proofErr w:type="spellStart"/>
      <w:r w:rsidR="00ED0BF8">
        <w:rPr>
          <w:sz w:val="32"/>
        </w:rPr>
        <w:t>Moscovici</w:t>
      </w:r>
      <w:proofErr w:type="spellEnd"/>
      <w:r w:rsidR="00ED0BF8">
        <w:rPr>
          <w:sz w:val="32"/>
        </w:rPr>
        <w:t>’ nr.</w:t>
      </w:r>
      <w:r w:rsidRPr="003872E4">
        <w:rPr>
          <w:sz w:val="32"/>
        </w:rPr>
        <w:t xml:space="preserve"> 2018/822 van de Raad van 25 mei 2018 tot wijziging van Richtlijn 2011/16/EU wat betreft verplichte automatische uitwisseling van inlichtingen op belastinggebied met betrekking tot meldingsplichtige grensoverschrijdende constructies. </w:t>
      </w:r>
    </w:p>
    <w:p w:rsidR="00201BEE" w:rsidRPr="003872E4" w:rsidRDefault="00201BEE" w:rsidP="003558E1">
      <w:pPr>
        <w:pStyle w:val="Lijstalinea"/>
        <w:ind w:left="0"/>
        <w:rPr>
          <w:sz w:val="32"/>
        </w:rPr>
      </w:pPr>
    </w:p>
    <w:p w:rsidR="00201BEE" w:rsidRPr="003872E4" w:rsidRDefault="00201BEE" w:rsidP="003558E1">
      <w:pPr>
        <w:pStyle w:val="Lijstalinea"/>
        <w:ind w:left="0"/>
        <w:rPr>
          <w:sz w:val="32"/>
        </w:rPr>
      </w:pPr>
      <w:r w:rsidRPr="003872E4">
        <w:rPr>
          <w:sz w:val="32"/>
        </w:rPr>
        <w:t xml:space="preserve">Even ter toelichting, voor wie niet bekend is met deze </w:t>
      </w:r>
      <w:r w:rsidR="00D1367C" w:rsidRPr="003872E4">
        <w:rPr>
          <w:sz w:val="32"/>
        </w:rPr>
        <w:t xml:space="preserve">Richtlijn: zij </w:t>
      </w:r>
      <w:r w:rsidR="00D46556" w:rsidRPr="003872E4">
        <w:rPr>
          <w:sz w:val="32"/>
        </w:rPr>
        <w:t xml:space="preserve">verplicht </w:t>
      </w:r>
      <w:r w:rsidR="00D1367C" w:rsidRPr="003872E4">
        <w:rPr>
          <w:sz w:val="32"/>
        </w:rPr>
        <w:t xml:space="preserve">al wie betrokken is bij het </w:t>
      </w:r>
      <w:r w:rsidR="00A86B3B" w:rsidRPr="003872E4">
        <w:rPr>
          <w:sz w:val="32"/>
        </w:rPr>
        <w:t xml:space="preserve">bedenken, aanbieden, opzetten, </w:t>
      </w:r>
      <w:r w:rsidR="00307F4C" w:rsidRPr="003872E4">
        <w:rPr>
          <w:sz w:val="32"/>
        </w:rPr>
        <w:t xml:space="preserve">beschikbaar maken voor implementatie of de implementatie beheert van een </w:t>
      </w:r>
      <w:r w:rsidR="00D46556" w:rsidRPr="003872E4">
        <w:rPr>
          <w:sz w:val="32"/>
        </w:rPr>
        <w:t>grensoverschrijdende fiscale constructie</w:t>
      </w:r>
      <w:r w:rsidR="00D10DC8" w:rsidRPr="003872E4">
        <w:rPr>
          <w:sz w:val="32"/>
        </w:rPr>
        <w:t xml:space="preserve"> (en al wie redelijkerwijs kon weten dat hij daar</w:t>
      </w:r>
      <w:r w:rsidR="00AE4C00" w:rsidRPr="003872E4">
        <w:rPr>
          <w:sz w:val="32"/>
        </w:rPr>
        <w:t xml:space="preserve">voor hulp, bijstand of advies verleent) om deze constructie te melden </w:t>
      </w:r>
      <w:r w:rsidR="000F4E57" w:rsidRPr="003872E4">
        <w:rPr>
          <w:sz w:val="32"/>
        </w:rPr>
        <w:t>aan de fiscus</w:t>
      </w:r>
      <w:r w:rsidR="00CA10CE" w:rsidRPr="003872E4">
        <w:rPr>
          <w:sz w:val="32"/>
        </w:rPr>
        <w:t>.</w:t>
      </w:r>
    </w:p>
    <w:p w:rsidR="00201BEE" w:rsidRPr="003872E4" w:rsidRDefault="00201BEE" w:rsidP="003558E1">
      <w:pPr>
        <w:pStyle w:val="Lijstalinea"/>
        <w:ind w:left="0"/>
        <w:rPr>
          <w:sz w:val="32"/>
        </w:rPr>
      </w:pPr>
    </w:p>
    <w:p w:rsidR="00201BEE" w:rsidRPr="003872E4" w:rsidRDefault="00201BEE" w:rsidP="003558E1">
      <w:pPr>
        <w:pStyle w:val="Lijstalinea"/>
        <w:ind w:left="0"/>
        <w:rPr>
          <w:sz w:val="32"/>
        </w:rPr>
      </w:pPr>
      <w:r w:rsidRPr="003872E4">
        <w:rPr>
          <w:sz w:val="32"/>
        </w:rPr>
        <w:t xml:space="preserve">De ontwerptekst van omzettingswet, zoals deze door </w:t>
      </w:r>
      <w:r w:rsidR="00D71F01" w:rsidRPr="003872E4">
        <w:rPr>
          <w:sz w:val="32"/>
        </w:rPr>
        <w:t>het Ministerie van</w:t>
      </w:r>
      <w:r w:rsidRPr="003872E4">
        <w:rPr>
          <w:sz w:val="32"/>
        </w:rPr>
        <w:t xml:space="preserve"> Financiën is geconcipieerd, maakt brandhout van het beroepsgeheim van de advocaten. De rechtspraak van het EHRM en het Grondwettelijk Hof lijkt wel </w:t>
      </w:r>
      <w:r w:rsidRPr="003872E4">
        <w:rPr>
          <w:i/>
          <w:sz w:val="32"/>
        </w:rPr>
        <w:t>terra incognita</w:t>
      </w:r>
      <w:r w:rsidRPr="003872E4">
        <w:rPr>
          <w:sz w:val="32"/>
        </w:rPr>
        <w:t xml:space="preserve"> voor de auteurs van de ontwerptekst.</w:t>
      </w:r>
    </w:p>
    <w:p w:rsidR="008F3091" w:rsidRPr="003872E4" w:rsidRDefault="008F3091" w:rsidP="003558E1">
      <w:pPr>
        <w:pStyle w:val="Lijstalinea"/>
        <w:ind w:left="0"/>
        <w:rPr>
          <w:sz w:val="32"/>
        </w:rPr>
      </w:pPr>
    </w:p>
    <w:p w:rsidR="008F3091" w:rsidRPr="003872E4" w:rsidRDefault="00D71F01" w:rsidP="003558E1">
      <w:pPr>
        <w:pStyle w:val="Lijstalinea"/>
        <w:ind w:left="0"/>
        <w:rPr>
          <w:sz w:val="32"/>
        </w:rPr>
      </w:pPr>
      <w:r w:rsidRPr="003872E4">
        <w:rPr>
          <w:sz w:val="32"/>
        </w:rPr>
        <w:t>Wat zegt die tekst, zonder in de technicalia te treden? Vooreerst herhaalt hij het principe</w:t>
      </w:r>
      <w:r w:rsidR="002F7CB7" w:rsidRPr="003872E4">
        <w:rPr>
          <w:sz w:val="32"/>
        </w:rPr>
        <w:t xml:space="preserve"> dat </w:t>
      </w:r>
      <w:r w:rsidR="00F90201" w:rsidRPr="003872E4">
        <w:rPr>
          <w:sz w:val="32"/>
        </w:rPr>
        <w:t xml:space="preserve">wie </w:t>
      </w:r>
      <w:r w:rsidR="0036738F" w:rsidRPr="003872E4">
        <w:rPr>
          <w:sz w:val="32"/>
        </w:rPr>
        <w:t xml:space="preserve">het bestaan van een dergelijke grensoverschrijdende </w:t>
      </w:r>
      <w:r w:rsidR="00AD57D4" w:rsidRPr="003872E4">
        <w:rPr>
          <w:sz w:val="32"/>
        </w:rPr>
        <w:t xml:space="preserve">constructie </w:t>
      </w:r>
      <w:r w:rsidR="0036738F" w:rsidRPr="003872E4">
        <w:rPr>
          <w:sz w:val="32"/>
        </w:rPr>
        <w:t xml:space="preserve">verneemt </w:t>
      </w:r>
      <w:r w:rsidR="00AD57D4" w:rsidRPr="003872E4">
        <w:rPr>
          <w:sz w:val="32"/>
        </w:rPr>
        <w:t>voor de bepaling van de rechtspositie</w:t>
      </w:r>
      <w:r w:rsidR="005E3962" w:rsidRPr="003872E4">
        <w:rPr>
          <w:sz w:val="32"/>
        </w:rPr>
        <w:t xml:space="preserve"> van de relevante belastingplichting of om hem in een rechtsgeding te verdedigen, of hem adviseert </w:t>
      </w:r>
      <w:r w:rsidR="00D75186" w:rsidRPr="003872E4">
        <w:rPr>
          <w:sz w:val="32"/>
        </w:rPr>
        <w:t>over het instellen of vermijden van een rechtsgeding, vrijgesteld is van melding.</w:t>
      </w:r>
    </w:p>
    <w:p w:rsidR="00D75186" w:rsidRPr="003872E4" w:rsidRDefault="00D75186" w:rsidP="003558E1">
      <w:pPr>
        <w:pStyle w:val="Lijstalinea"/>
        <w:ind w:left="0"/>
        <w:rPr>
          <w:sz w:val="32"/>
        </w:rPr>
      </w:pPr>
    </w:p>
    <w:p w:rsidR="00D75186" w:rsidRPr="003872E4" w:rsidRDefault="00D71F01" w:rsidP="003558E1">
      <w:pPr>
        <w:pStyle w:val="Lijstalinea"/>
        <w:ind w:left="0"/>
        <w:rPr>
          <w:sz w:val="32"/>
        </w:rPr>
      </w:pPr>
      <w:r w:rsidRPr="003872E4">
        <w:rPr>
          <w:sz w:val="32"/>
        </w:rPr>
        <w:t>Maar</w:t>
      </w:r>
      <w:r w:rsidR="00D75186" w:rsidRPr="003872E4">
        <w:rPr>
          <w:sz w:val="32"/>
        </w:rPr>
        <w:t xml:space="preserve"> als </w:t>
      </w:r>
      <w:r w:rsidR="003A2A36" w:rsidRPr="003872E4">
        <w:rPr>
          <w:sz w:val="32"/>
        </w:rPr>
        <w:t xml:space="preserve">de adviseur (de advocaat) </w:t>
      </w:r>
      <w:r w:rsidR="001B02E2" w:rsidRPr="003872E4">
        <w:rPr>
          <w:sz w:val="32"/>
        </w:rPr>
        <w:t>op enig moment rechtstreeks of via anderen hulp, bijstand of advies heeft gegeven</w:t>
      </w:r>
      <w:r w:rsidR="00722BA5" w:rsidRPr="003872E4">
        <w:rPr>
          <w:sz w:val="32"/>
        </w:rPr>
        <w:t xml:space="preserve"> m.b.t. het bedenken, aanbieden, opzetten e.d.m. van de constructie, geldt de ontheffing niet meer en moet er wel degelijk aangemeld worden.</w:t>
      </w:r>
    </w:p>
    <w:p w:rsidR="008E7375" w:rsidRPr="003872E4" w:rsidRDefault="008E7375" w:rsidP="003558E1">
      <w:pPr>
        <w:pStyle w:val="Lijstalinea"/>
        <w:ind w:left="0"/>
        <w:rPr>
          <w:sz w:val="32"/>
        </w:rPr>
      </w:pPr>
    </w:p>
    <w:p w:rsidR="008E7375" w:rsidRPr="003872E4" w:rsidRDefault="00D71F01" w:rsidP="003558E1">
      <w:pPr>
        <w:pStyle w:val="Lijstalinea"/>
        <w:ind w:left="0"/>
        <w:rPr>
          <w:sz w:val="32"/>
        </w:rPr>
      </w:pPr>
      <w:r w:rsidRPr="003872E4">
        <w:rPr>
          <w:sz w:val="32"/>
        </w:rPr>
        <w:t>De klap op de vuurpijl is</w:t>
      </w:r>
      <w:r w:rsidR="008E7375" w:rsidRPr="003872E4">
        <w:rPr>
          <w:sz w:val="32"/>
        </w:rPr>
        <w:t xml:space="preserve"> – ik herhaal dat wij ons hier bevinden in het domein van de perfect wettelijke advisering, er is geen sprake van enig misdrijf of enige fraude </w:t>
      </w:r>
      <w:r w:rsidR="00D36291" w:rsidRPr="003872E4">
        <w:rPr>
          <w:sz w:val="32"/>
        </w:rPr>
        <w:t>–</w:t>
      </w:r>
      <w:r w:rsidR="008E7375" w:rsidRPr="003872E4">
        <w:rPr>
          <w:sz w:val="32"/>
        </w:rPr>
        <w:t xml:space="preserve"> </w:t>
      </w:r>
      <w:r w:rsidR="00D36291" w:rsidRPr="003872E4">
        <w:rPr>
          <w:sz w:val="32"/>
        </w:rPr>
        <w:t xml:space="preserve">de rol van de stafhouder wordt volledig uitgehold. </w:t>
      </w:r>
      <w:r w:rsidR="000C35E3" w:rsidRPr="003872E4">
        <w:rPr>
          <w:sz w:val="32"/>
        </w:rPr>
        <w:t xml:space="preserve">Indien bij een fiscale </w:t>
      </w:r>
      <w:r w:rsidR="00CC3367" w:rsidRPr="003872E4">
        <w:rPr>
          <w:sz w:val="32"/>
        </w:rPr>
        <w:t>visitatie</w:t>
      </w:r>
      <w:r w:rsidR="000C35E3" w:rsidRPr="003872E4">
        <w:rPr>
          <w:sz w:val="32"/>
        </w:rPr>
        <w:t xml:space="preserve"> </w:t>
      </w:r>
      <w:r w:rsidR="00CC3367" w:rsidRPr="003872E4">
        <w:rPr>
          <w:sz w:val="32"/>
        </w:rPr>
        <w:t>t.a.v. bepaalde documenten het beroepsgeheim van de</w:t>
      </w:r>
      <w:r w:rsidR="000C35E3" w:rsidRPr="003872E4">
        <w:rPr>
          <w:sz w:val="32"/>
        </w:rPr>
        <w:t xml:space="preserve"> advocaat </w:t>
      </w:r>
      <w:r w:rsidR="00CC3367" w:rsidRPr="003872E4">
        <w:rPr>
          <w:sz w:val="32"/>
        </w:rPr>
        <w:t>wordt ingeroepen</w:t>
      </w:r>
      <w:r w:rsidR="000C35E3" w:rsidRPr="003872E4">
        <w:rPr>
          <w:sz w:val="32"/>
        </w:rPr>
        <w:t xml:space="preserve">, dan </w:t>
      </w:r>
      <w:r w:rsidR="000B1C93" w:rsidRPr="003872E4">
        <w:rPr>
          <w:sz w:val="32"/>
        </w:rPr>
        <w:t xml:space="preserve">moet de fiscus een </w:t>
      </w:r>
      <w:r w:rsidR="000C35E3" w:rsidRPr="003872E4">
        <w:rPr>
          <w:sz w:val="32"/>
        </w:rPr>
        <w:t>bijzondere procedure</w:t>
      </w:r>
      <w:r w:rsidR="000B1C93" w:rsidRPr="003872E4">
        <w:rPr>
          <w:sz w:val="32"/>
        </w:rPr>
        <w:t xml:space="preserve"> toepassen, conform</w:t>
      </w:r>
      <w:r w:rsidR="000C35E3" w:rsidRPr="003872E4">
        <w:rPr>
          <w:sz w:val="32"/>
        </w:rPr>
        <w:t xml:space="preserve"> artikel 334 WIB 92. De fiscus moet dan </w:t>
      </w:r>
      <w:r w:rsidR="000B1C93" w:rsidRPr="003872E4">
        <w:rPr>
          <w:sz w:val="32"/>
        </w:rPr>
        <w:t xml:space="preserve">met name </w:t>
      </w:r>
      <w:r w:rsidR="000C35E3" w:rsidRPr="003872E4">
        <w:rPr>
          <w:sz w:val="32"/>
        </w:rPr>
        <w:t xml:space="preserve">om tussenkomst verzoeken van de territoriaal bevoegde tuchtoverheid </w:t>
      </w:r>
      <w:r w:rsidR="000B1C93" w:rsidRPr="003872E4">
        <w:rPr>
          <w:sz w:val="32"/>
        </w:rPr>
        <w:t>(de stafhouder</w:t>
      </w:r>
      <w:r w:rsidR="00502C84" w:rsidRPr="003872E4">
        <w:rPr>
          <w:sz w:val="32"/>
        </w:rPr>
        <w:t xml:space="preserve">) </w:t>
      </w:r>
      <w:r w:rsidR="000C35E3" w:rsidRPr="003872E4">
        <w:rPr>
          <w:sz w:val="32"/>
        </w:rPr>
        <w:t>“</w:t>
      </w:r>
      <w:r w:rsidR="000C35E3" w:rsidRPr="003872E4">
        <w:rPr>
          <w:i/>
          <w:sz w:val="32"/>
        </w:rPr>
        <w:t>opdat deze zou oordelen of, en gebeurlijk in welke mate, de vraag om inlichtingen of de overlegging van boeken en bescheiden verzoenbaar is met het eerbiedigen van het beroepsgeheim</w:t>
      </w:r>
      <w:r w:rsidR="000C35E3" w:rsidRPr="003872E4">
        <w:rPr>
          <w:sz w:val="32"/>
        </w:rPr>
        <w:t>”.</w:t>
      </w:r>
    </w:p>
    <w:p w:rsidR="00502C84" w:rsidRPr="003872E4" w:rsidRDefault="00502C84" w:rsidP="003558E1">
      <w:pPr>
        <w:pStyle w:val="Lijstalinea"/>
        <w:ind w:left="0"/>
        <w:rPr>
          <w:sz w:val="32"/>
        </w:rPr>
      </w:pPr>
    </w:p>
    <w:p w:rsidR="00F20489" w:rsidRPr="003872E4" w:rsidRDefault="00502C84" w:rsidP="003558E1">
      <w:pPr>
        <w:pStyle w:val="Lijstalinea"/>
        <w:ind w:left="0"/>
        <w:rPr>
          <w:sz w:val="32"/>
        </w:rPr>
      </w:pPr>
      <w:r w:rsidRPr="003872E4">
        <w:rPr>
          <w:sz w:val="32"/>
        </w:rPr>
        <w:t xml:space="preserve">Welnu, wanneer de fiscus komt controleren of een advocaat zijn meldingsplicht m.b.t. grensoverschrijdende contructies </w:t>
      </w:r>
      <w:r w:rsidR="001E0D4C" w:rsidRPr="003872E4">
        <w:rPr>
          <w:sz w:val="32"/>
        </w:rPr>
        <w:t>heeft nageleefd, zegt het ontwerp van omzettingswet</w:t>
      </w:r>
      <w:r w:rsidR="004D34C6" w:rsidRPr="003872E4">
        <w:rPr>
          <w:rStyle w:val="Voetnootmarkering"/>
          <w:sz w:val="32"/>
        </w:rPr>
        <w:footnoteReference w:id="11"/>
      </w:r>
      <w:r w:rsidR="001E0D4C" w:rsidRPr="003872E4">
        <w:rPr>
          <w:sz w:val="32"/>
        </w:rPr>
        <w:t xml:space="preserve"> dat</w:t>
      </w:r>
      <w:r w:rsidR="004D34C6" w:rsidRPr="003872E4">
        <w:rPr>
          <w:sz w:val="32"/>
        </w:rPr>
        <w:t xml:space="preserve"> </w:t>
      </w:r>
      <w:r w:rsidR="00F20489" w:rsidRPr="003872E4">
        <w:rPr>
          <w:sz w:val="32"/>
        </w:rPr>
        <w:t xml:space="preserve">de stafhouder </w:t>
      </w:r>
      <w:r w:rsidR="00F20489" w:rsidRPr="003872E4">
        <w:rPr>
          <w:sz w:val="32"/>
        </w:rPr>
        <w:lastRenderedPageBreak/>
        <w:t xml:space="preserve">niet hoeft geraadpleegd te worden. </w:t>
      </w:r>
      <w:r w:rsidR="00ED0BF8">
        <w:rPr>
          <w:sz w:val="32"/>
        </w:rPr>
        <w:t>Anders gezegd: het beroepsgeheim vervalt in het niets.</w:t>
      </w:r>
    </w:p>
    <w:p w:rsidR="00F20489" w:rsidRPr="003872E4" w:rsidRDefault="00F20489" w:rsidP="003558E1">
      <w:pPr>
        <w:pStyle w:val="Lijstalinea"/>
        <w:ind w:left="0"/>
        <w:rPr>
          <w:sz w:val="32"/>
        </w:rPr>
      </w:pPr>
    </w:p>
    <w:p w:rsidR="00502C84" w:rsidRPr="003872E4" w:rsidRDefault="00F20489" w:rsidP="003558E1">
      <w:pPr>
        <w:pStyle w:val="Lijstalinea"/>
        <w:ind w:left="0"/>
        <w:rPr>
          <w:sz w:val="32"/>
        </w:rPr>
      </w:pPr>
      <w:r w:rsidRPr="003872E4">
        <w:rPr>
          <w:sz w:val="32"/>
        </w:rPr>
        <w:t>Beroepsgeheim of niet, de fiscus heeft recht op de gevraagde informatie</w:t>
      </w:r>
      <w:r w:rsidR="00293142" w:rsidRPr="003872E4">
        <w:rPr>
          <w:sz w:val="32"/>
        </w:rPr>
        <w:t xml:space="preserve">, of niet soms? </w:t>
      </w:r>
      <w:r w:rsidR="00AD653C" w:rsidRPr="003872E4">
        <w:rPr>
          <w:sz w:val="32"/>
        </w:rPr>
        <w:t>Moeten die ouderwetse en corporatistische regeltjes van de advocatuur niet wijken voor</w:t>
      </w:r>
      <w:r w:rsidR="00C3220D" w:rsidRPr="003872E4">
        <w:rPr>
          <w:sz w:val="32"/>
        </w:rPr>
        <w:t xml:space="preserve"> het hogere belang van</w:t>
      </w:r>
      <w:r w:rsidR="00AD653C" w:rsidRPr="003872E4">
        <w:rPr>
          <w:sz w:val="32"/>
        </w:rPr>
        <w:t xml:space="preserve"> de juiste belastingheffing?</w:t>
      </w:r>
      <w:r w:rsidR="001E0D4C" w:rsidRPr="003872E4">
        <w:rPr>
          <w:sz w:val="32"/>
        </w:rPr>
        <w:t xml:space="preserve"> </w:t>
      </w:r>
      <w:r w:rsidR="009716BC" w:rsidRPr="003872E4">
        <w:rPr>
          <w:sz w:val="32"/>
        </w:rPr>
        <w:t>Mijn</w:t>
      </w:r>
      <w:r w:rsidR="00C3220D" w:rsidRPr="003872E4">
        <w:rPr>
          <w:sz w:val="32"/>
        </w:rPr>
        <w:t xml:space="preserve"> antwoord op die vraag is</w:t>
      </w:r>
      <w:r w:rsidR="009716BC" w:rsidRPr="003872E4">
        <w:rPr>
          <w:sz w:val="32"/>
        </w:rPr>
        <w:t xml:space="preserve"> een krachtig</w:t>
      </w:r>
      <w:r w:rsidR="00C3220D" w:rsidRPr="003872E4">
        <w:rPr>
          <w:sz w:val="32"/>
        </w:rPr>
        <w:t xml:space="preserve"> neen.</w:t>
      </w:r>
      <w:r w:rsidR="009716BC" w:rsidRPr="003872E4">
        <w:rPr>
          <w:sz w:val="32"/>
        </w:rPr>
        <w:t xml:space="preserve"> Men moet weten </w:t>
      </w:r>
      <w:r w:rsidR="005B6074" w:rsidRPr="003872E4">
        <w:rPr>
          <w:sz w:val="32"/>
        </w:rPr>
        <w:t xml:space="preserve">in welke maatschappij men wil leven: in een rechtsstaat, die ruimte laat voor </w:t>
      </w:r>
      <w:r w:rsidR="00D32921" w:rsidRPr="003872E4">
        <w:rPr>
          <w:sz w:val="32"/>
        </w:rPr>
        <w:t xml:space="preserve">vertrouwensberoepen, of in een staat waarin </w:t>
      </w:r>
      <w:r w:rsidR="00B44449" w:rsidRPr="003872E4">
        <w:rPr>
          <w:sz w:val="32"/>
        </w:rPr>
        <w:t xml:space="preserve">zonder pardon de rechten van de burgers worden opgeofferd aan het </w:t>
      </w:r>
      <w:r w:rsidR="00D32921" w:rsidRPr="003872E4">
        <w:rPr>
          <w:sz w:val="32"/>
        </w:rPr>
        <w:t>zogenaamd hogere belang van van de staat</w:t>
      </w:r>
      <w:r w:rsidR="00C80E1B" w:rsidRPr="003872E4">
        <w:rPr>
          <w:sz w:val="32"/>
        </w:rPr>
        <w:t xml:space="preserve">, zelfs als zij de wet perfect naleven. </w:t>
      </w:r>
    </w:p>
    <w:p w:rsidR="00F20489" w:rsidRPr="003872E4" w:rsidRDefault="00F20489" w:rsidP="003558E1">
      <w:pPr>
        <w:pStyle w:val="Lijstalinea"/>
        <w:ind w:left="0"/>
        <w:rPr>
          <w:sz w:val="32"/>
        </w:rPr>
      </w:pPr>
    </w:p>
    <w:p w:rsidR="00F20489" w:rsidRPr="003872E4" w:rsidRDefault="00F20489" w:rsidP="003558E1">
      <w:pPr>
        <w:pStyle w:val="Lijstalinea"/>
        <w:ind w:left="0"/>
        <w:rPr>
          <w:sz w:val="32"/>
        </w:rPr>
      </w:pPr>
      <w:r w:rsidRPr="003872E4">
        <w:rPr>
          <w:sz w:val="32"/>
        </w:rPr>
        <w:t>Laten wij hopen dat de</w:t>
      </w:r>
      <w:r w:rsidR="007D7A65" w:rsidRPr="003872E4">
        <w:rPr>
          <w:sz w:val="32"/>
        </w:rPr>
        <w:t xml:space="preserve"> voorgenomen </w:t>
      </w:r>
      <w:r w:rsidRPr="003872E4">
        <w:rPr>
          <w:sz w:val="32"/>
        </w:rPr>
        <w:t>omzettingswet geen realiteit wordt. Maar</w:t>
      </w:r>
      <w:r w:rsidR="007D7A65" w:rsidRPr="003872E4">
        <w:rPr>
          <w:sz w:val="32"/>
        </w:rPr>
        <w:t xml:space="preserve"> wat er ook van zij,</w:t>
      </w:r>
      <w:r w:rsidRPr="003872E4">
        <w:rPr>
          <w:sz w:val="32"/>
        </w:rPr>
        <w:t xml:space="preserve"> de graduele, niet verborgen gehouden ondermijning van het beroepsgeheim, en dus van de rechtsstaat, is </w:t>
      </w:r>
      <w:r w:rsidR="007D7A65" w:rsidRPr="003872E4">
        <w:rPr>
          <w:sz w:val="32"/>
        </w:rPr>
        <w:t xml:space="preserve">inmiddels </w:t>
      </w:r>
      <w:r w:rsidRPr="003872E4">
        <w:rPr>
          <w:sz w:val="32"/>
        </w:rPr>
        <w:t xml:space="preserve">een </w:t>
      </w:r>
      <w:r w:rsidR="00A67FB8" w:rsidRPr="003872E4">
        <w:rPr>
          <w:sz w:val="32"/>
        </w:rPr>
        <w:t>staalhard</w:t>
      </w:r>
      <w:r w:rsidRPr="003872E4">
        <w:rPr>
          <w:sz w:val="32"/>
        </w:rPr>
        <w:t xml:space="preserve"> feit</w:t>
      </w:r>
      <w:r w:rsidR="00A67FB8" w:rsidRPr="003872E4">
        <w:rPr>
          <w:sz w:val="32"/>
        </w:rPr>
        <w:t xml:space="preserve">. </w:t>
      </w:r>
    </w:p>
    <w:p w:rsidR="00A67FB8" w:rsidRPr="003872E4" w:rsidRDefault="00A67FB8" w:rsidP="003558E1">
      <w:pPr>
        <w:pStyle w:val="Lijstalinea"/>
        <w:ind w:left="0"/>
        <w:rPr>
          <w:sz w:val="32"/>
        </w:rPr>
      </w:pPr>
    </w:p>
    <w:p w:rsidR="00A67FB8" w:rsidRPr="003872E4" w:rsidRDefault="00A67FB8" w:rsidP="003558E1">
      <w:pPr>
        <w:pStyle w:val="Lijstalinea"/>
        <w:ind w:left="0"/>
        <w:rPr>
          <w:sz w:val="32"/>
        </w:rPr>
      </w:pPr>
      <w:r w:rsidRPr="003872E4">
        <w:rPr>
          <w:sz w:val="32"/>
        </w:rPr>
        <w:t xml:space="preserve">Het is tijd dat de actoren van de rechterlijke macht andermaal de handen in elkaar slaan om </w:t>
      </w:r>
      <w:r w:rsidR="00165FD8" w:rsidRPr="003872E4">
        <w:rPr>
          <w:sz w:val="32"/>
        </w:rPr>
        <w:t xml:space="preserve">ervoor te zorgen dat een faire, professionele </w:t>
      </w:r>
      <w:r w:rsidR="00C25FDD" w:rsidRPr="003872E4">
        <w:rPr>
          <w:sz w:val="32"/>
        </w:rPr>
        <w:t>en onafhankelijke rechterlijke macht kan gedijen in ons land. Namens de balie reik ik de hand naar de magistratuur</w:t>
      </w:r>
      <w:r w:rsidR="00F73474" w:rsidRPr="003872E4">
        <w:rPr>
          <w:sz w:val="32"/>
        </w:rPr>
        <w:t xml:space="preserve">: wij moeten samen ten strijde trekken tegen de krachten die </w:t>
      </w:r>
      <w:r w:rsidR="00DA2BF6" w:rsidRPr="003872E4">
        <w:rPr>
          <w:sz w:val="32"/>
        </w:rPr>
        <w:t xml:space="preserve">bereid zijn de fundamenten van onze vrije rechtsstaat </w:t>
      </w:r>
      <w:r w:rsidR="001372DA" w:rsidRPr="003872E4">
        <w:rPr>
          <w:sz w:val="32"/>
        </w:rPr>
        <w:t>te grabbel te gooien</w:t>
      </w:r>
      <w:r w:rsidR="002528F3" w:rsidRPr="003872E4">
        <w:rPr>
          <w:sz w:val="32"/>
        </w:rPr>
        <w:t xml:space="preserve">. Dat zij dit doen </w:t>
      </w:r>
      <w:r w:rsidR="001372DA" w:rsidRPr="003872E4">
        <w:rPr>
          <w:sz w:val="32"/>
        </w:rPr>
        <w:t xml:space="preserve">om de </w:t>
      </w:r>
      <w:r w:rsidR="008308A7" w:rsidRPr="003872E4">
        <w:rPr>
          <w:sz w:val="32"/>
        </w:rPr>
        <w:t>belangen van de schatkist</w:t>
      </w:r>
      <w:r w:rsidR="002528F3" w:rsidRPr="003872E4">
        <w:rPr>
          <w:sz w:val="32"/>
        </w:rPr>
        <w:t>,</w:t>
      </w:r>
      <w:r w:rsidR="00C53601" w:rsidRPr="003872E4">
        <w:rPr>
          <w:sz w:val="32"/>
        </w:rPr>
        <w:t xml:space="preserve"> of wie dan ook</w:t>
      </w:r>
      <w:r w:rsidR="002528F3" w:rsidRPr="003872E4">
        <w:rPr>
          <w:sz w:val="32"/>
        </w:rPr>
        <w:t>,</w:t>
      </w:r>
      <w:r w:rsidR="008308A7" w:rsidRPr="003872E4">
        <w:rPr>
          <w:sz w:val="32"/>
        </w:rPr>
        <w:t xml:space="preserve"> te dienen </w:t>
      </w:r>
      <w:r w:rsidR="002528F3" w:rsidRPr="003872E4">
        <w:rPr>
          <w:sz w:val="32"/>
        </w:rPr>
        <w:t xml:space="preserve">is </w:t>
      </w:r>
      <w:r w:rsidR="00621E6C" w:rsidRPr="003872E4">
        <w:rPr>
          <w:sz w:val="32"/>
        </w:rPr>
        <w:t xml:space="preserve">geen valabel </w:t>
      </w:r>
      <w:r w:rsidR="00293142" w:rsidRPr="003872E4">
        <w:rPr>
          <w:sz w:val="32"/>
        </w:rPr>
        <w:t xml:space="preserve">excuus. Als de rechtszoekende, d.i. potentieel u of ik, er niet meer mag op vertrouwen dat wat hij aan zijn advocaat toevertrouwt, of wat de advocaat hem adviseert, geheim is en blijft, dan is er iets fundamenteel fout aan het gaan in onze maatschappij. </w:t>
      </w:r>
    </w:p>
    <w:p w:rsidR="00293142" w:rsidRPr="003872E4" w:rsidRDefault="00293142" w:rsidP="003558E1">
      <w:pPr>
        <w:pStyle w:val="Lijstalinea"/>
        <w:ind w:left="0"/>
        <w:rPr>
          <w:sz w:val="32"/>
        </w:rPr>
      </w:pPr>
    </w:p>
    <w:p w:rsidR="00293142" w:rsidRPr="003872E4" w:rsidRDefault="00293142" w:rsidP="003558E1">
      <w:pPr>
        <w:pStyle w:val="Lijstalinea"/>
        <w:ind w:left="0"/>
        <w:rPr>
          <w:sz w:val="32"/>
        </w:rPr>
      </w:pPr>
      <w:r w:rsidRPr="003872E4">
        <w:rPr>
          <w:sz w:val="32"/>
        </w:rPr>
        <w:t>Dit wegdrijven van de principes van de rechtsstaat mogen wij niet tolereren</w:t>
      </w:r>
      <w:r w:rsidR="007D7A65" w:rsidRPr="003872E4">
        <w:rPr>
          <w:sz w:val="32"/>
        </w:rPr>
        <w:t xml:space="preserve">. </w:t>
      </w:r>
    </w:p>
    <w:p w:rsidR="007D7A65" w:rsidRPr="003872E4" w:rsidRDefault="007D7A65" w:rsidP="003558E1">
      <w:pPr>
        <w:pStyle w:val="Lijstalinea"/>
        <w:ind w:left="0"/>
        <w:rPr>
          <w:sz w:val="32"/>
        </w:rPr>
      </w:pPr>
    </w:p>
    <w:p w:rsidR="007D7A65" w:rsidRPr="003872E4" w:rsidRDefault="007D7A65" w:rsidP="003558E1">
      <w:pPr>
        <w:pStyle w:val="Lijstalinea"/>
        <w:ind w:left="0"/>
        <w:rPr>
          <w:sz w:val="32"/>
        </w:rPr>
      </w:pPr>
      <w:r w:rsidRPr="003872E4">
        <w:rPr>
          <w:sz w:val="32"/>
        </w:rPr>
        <w:t xml:space="preserve">Dames en heren, </w:t>
      </w:r>
      <w:r w:rsidR="00CC3367" w:rsidRPr="003872E4">
        <w:rPr>
          <w:sz w:val="32"/>
        </w:rPr>
        <w:t xml:space="preserve">het thema van </w:t>
      </w:r>
      <w:proofErr w:type="spellStart"/>
      <w:r w:rsidR="00CC3367" w:rsidRPr="003872E4">
        <w:rPr>
          <w:i/>
          <w:sz w:val="32"/>
        </w:rPr>
        <w:t>le</w:t>
      </w:r>
      <w:proofErr w:type="spellEnd"/>
      <w:r w:rsidR="00CC3367" w:rsidRPr="003872E4">
        <w:rPr>
          <w:i/>
          <w:sz w:val="32"/>
        </w:rPr>
        <w:t xml:space="preserve"> </w:t>
      </w:r>
      <w:proofErr w:type="spellStart"/>
      <w:r w:rsidR="00CC3367" w:rsidRPr="003872E4">
        <w:rPr>
          <w:i/>
          <w:sz w:val="32"/>
        </w:rPr>
        <w:t>droit</w:t>
      </w:r>
      <w:proofErr w:type="spellEnd"/>
      <w:r w:rsidR="00CC3367" w:rsidRPr="003872E4">
        <w:rPr>
          <w:i/>
          <w:sz w:val="32"/>
        </w:rPr>
        <w:t xml:space="preserve"> des </w:t>
      </w:r>
      <w:proofErr w:type="spellStart"/>
      <w:r w:rsidR="00CC3367" w:rsidRPr="003872E4">
        <w:rPr>
          <w:i/>
          <w:sz w:val="32"/>
        </w:rPr>
        <w:t>juges</w:t>
      </w:r>
      <w:proofErr w:type="spellEnd"/>
      <w:r w:rsidR="00CC3367" w:rsidRPr="003872E4">
        <w:rPr>
          <w:sz w:val="32"/>
        </w:rPr>
        <w:t xml:space="preserve"> heeft mij te ver doen afwijken</w:t>
      </w:r>
      <w:r w:rsidRPr="003872E4">
        <w:rPr>
          <w:sz w:val="32"/>
        </w:rPr>
        <w:t xml:space="preserve"> van het thema van onze openingsredenaar. </w:t>
      </w:r>
    </w:p>
    <w:p w:rsidR="00C80E1B" w:rsidRPr="003872E4" w:rsidRDefault="00C80E1B" w:rsidP="003558E1">
      <w:pPr>
        <w:pStyle w:val="Lijstalinea"/>
        <w:ind w:left="0"/>
        <w:rPr>
          <w:sz w:val="32"/>
        </w:rPr>
      </w:pPr>
    </w:p>
    <w:p w:rsidR="00240E5C" w:rsidRPr="003872E4" w:rsidRDefault="005F643A" w:rsidP="003558E1">
      <w:pPr>
        <w:pStyle w:val="Lijstalinea"/>
        <w:ind w:left="0"/>
        <w:rPr>
          <w:sz w:val="32"/>
        </w:rPr>
      </w:pPr>
      <w:r w:rsidRPr="003872E4">
        <w:rPr>
          <w:sz w:val="32"/>
        </w:rPr>
        <w:t>Mijnheer de openingsredenaar</w:t>
      </w:r>
      <w:r w:rsidR="00843EE2" w:rsidRPr="003872E4">
        <w:rPr>
          <w:sz w:val="32"/>
        </w:rPr>
        <w:t xml:space="preserve">, </w:t>
      </w:r>
      <w:r w:rsidR="00240E5C" w:rsidRPr="003872E4">
        <w:rPr>
          <w:sz w:val="32"/>
        </w:rPr>
        <w:t xml:space="preserve">mijnheer de voorzitter, </w:t>
      </w:r>
      <w:r w:rsidR="00843EE2" w:rsidRPr="003872E4">
        <w:rPr>
          <w:sz w:val="32"/>
        </w:rPr>
        <w:t>u bent</w:t>
      </w:r>
      <w:r w:rsidR="00240E5C" w:rsidRPr="003872E4">
        <w:rPr>
          <w:sz w:val="32"/>
        </w:rPr>
        <w:t xml:space="preserve"> allebei</w:t>
      </w:r>
      <w:r w:rsidR="00843EE2" w:rsidRPr="003872E4">
        <w:rPr>
          <w:sz w:val="32"/>
        </w:rPr>
        <w:t xml:space="preserve"> </w:t>
      </w:r>
      <w:r w:rsidRPr="003872E4">
        <w:rPr>
          <w:sz w:val="32"/>
        </w:rPr>
        <w:t>West-Vlaming</w:t>
      </w:r>
      <w:r w:rsidR="00240E5C" w:rsidRPr="003872E4">
        <w:rPr>
          <w:sz w:val="32"/>
        </w:rPr>
        <w:t>en. U weet dat de provincie vanwaar u afkomstig bent, nog meer illustere persoonlijkheden heeft voortgebracht…</w:t>
      </w:r>
    </w:p>
    <w:p w:rsidR="00240E5C" w:rsidRPr="003872E4" w:rsidRDefault="00240E5C" w:rsidP="003558E1">
      <w:pPr>
        <w:pStyle w:val="Lijstalinea"/>
        <w:ind w:left="0"/>
        <w:rPr>
          <w:sz w:val="32"/>
        </w:rPr>
      </w:pPr>
    </w:p>
    <w:p w:rsidR="00240E5C" w:rsidRPr="003872E4" w:rsidRDefault="00240E5C" w:rsidP="003558E1">
      <w:pPr>
        <w:pStyle w:val="Lijstalinea"/>
        <w:ind w:left="0"/>
        <w:rPr>
          <w:sz w:val="32"/>
        </w:rPr>
      </w:pPr>
      <w:r w:rsidRPr="003872E4">
        <w:rPr>
          <w:sz w:val="32"/>
        </w:rPr>
        <w:t xml:space="preserve">Ik heb het hier over </w:t>
      </w:r>
      <w:r w:rsidR="00AE2B11" w:rsidRPr="003872E4">
        <w:rPr>
          <w:sz w:val="32"/>
        </w:rPr>
        <w:t xml:space="preserve">uw streekgenoot, </w:t>
      </w:r>
      <w:r w:rsidRPr="003872E4">
        <w:rPr>
          <w:sz w:val="32"/>
        </w:rPr>
        <w:t>die bekende TV-kok</w:t>
      </w:r>
      <w:r w:rsidR="005C21A0" w:rsidRPr="003872E4">
        <w:rPr>
          <w:sz w:val="32"/>
        </w:rPr>
        <w:t xml:space="preserve"> Piet Huysentruyt</w:t>
      </w:r>
      <w:r w:rsidRPr="003872E4">
        <w:rPr>
          <w:sz w:val="32"/>
        </w:rPr>
        <w:t>, die de onvolprezen vraag stelde: “</w:t>
      </w:r>
      <w:r w:rsidRPr="003872E4">
        <w:rPr>
          <w:i/>
          <w:sz w:val="32"/>
        </w:rPr>
        <w:t>Wat hebben wij vandaag geleerd?</w:t>
      </w:r>
      <w:r w:rsidRPr="003872E4">
        <w:rPr>
          <w:sz w:val="32"/>
        </w:rPr>
        <w:t>” Of om in uw thema te blijven</w:t>
      </w:r>
      <w:r w:rsidR="006D3520" w:rsidRPr="003872E4">
        <w:rPr>
          <w:sz w:val="32"/>
        </w:rPr>
        <w:t>:</w:t>
      </w:r>
      <w:r w:rsidRPr="003872E4">
        <w:rPr>
          <w:sz w:val="32"/>
        </w:rPr>
        <w:t xml:space="preserve"> wat hebben wij vandaag bewezen?</w:t>
      </w:r>
    </w:p>
    <w:p w:rsidR="00AE2B11" w:rsidRPr="003872E4" w:rsidRDefault="00AE2B11" w:rsidP="003558E1">
      <w:pPr>
        <w:pStyle w:val="Lijstalinea"/>
        <w:ind w:left="0"/>
        <w:rPr>
          <w:sz w:val="32"/>
        </w:rPr>
      </w:pPr>
    </w:p>
    <w:p w:rsidR="00AA0EB3" w:rsidRPr="003872E4" w:rsidRDefault="00AA0EB3" w:rsidP="003558E1">
      <w:pPr>
        <w:pStyle w:val="Lijstalinea"/>
        <w:ind w:left="0"/>
        <w:rPr>
          <w:sz w:val="32"/>
        </w:rPr>
      </w:pPr>
      <w:r w:rsidRPr="003872E4">
        <w:rPr>
          <w:sz w:val="32"/>
        </w:rPr>
        <w:t xml:space="preserve">Om die vraag te beantwoorden grijp ik terug naar </w:t>
      </w:r>
      <w:r w:rsidR="00401951" w:rsidRPr="003872E4">
        <w:rPr>
          <w:sz w:val="32"/>
        </w:rPr>
        <w:t>de</w:t>
      </w:r>
      <w:r w:rsidR="00A478F8" w:rsidRPr="003872E4">
        <w:rPr>
          <w:sz w:val="32"/>
        </w:rPr>
        <w:t xml:space="preserve"> oude Chinese </w:t>
      </w:r>
      <w:r w:rsidR="00401951" w:rsidRPr="003872E4">
        <w:rPr>
          <w:sz w:val="32"/>
        </w:rPr>
        <w:t>wijsheid</w:t>
      </w:r>
      <w:r w:rsidR="00A478F8" w:rsidRPr="003872E4">
        <w:rPr>
          <w:sz w:val="32"/>
        </w:rPr>
        <w:t>: “</w:t>
      </w:r>
      <w:r w:rsidR="00A478F8" w:rsidRPr="003872E4">
        <w:rPr>
          <w:i/>
          <w:sz w:val="32"/>
        </w:rPr>
        <w:t>als de wijze met zijn vinger naar de maan wijst, kijkt de dwaze naar de vinger</w:t>
      </w:r>
      <w:r w:rsidR="00A478F8" w:rsidRPr="003872E4">
        <w:rPr>
          <w:sz w:val="32"/>
        </w:rPr>
        <w:t xml:space="preserve">”. Ik neem aan dat een </w:t>
      </w:r>
      <w:r w:rsidR="00D83435" w:rsidRPr="003872E4">
        <w:rPr>
          <w:sz w:val="32"/>
        </w:rPr>
        <w:t>geleerd gezelschap als het uwe hierbij niet veel duiding nodig heeft</w:t>
      </w:r>
      <w:r w:rsidR="00401951" w:rsidRPr="003872E4">
        <w:rPr>
          <w:sz w:val="32"/>
        </w:rPr>
        <w:t>:</w:t>
      </w:r>
      <w:r w:rsidR="00793B47" w:rsidRPr="003872E4">
        <w:rPr>
          <w:sz w:val="32"/>
        </w:rPr>
        <w:t xml:space="preserve"> de dwaze blijft hangen in de modder van het alledaagse, </w:t>
      </w:r>
      <w:r w:rsidR="00657D51" w:rsidRPr="003872E4">
        <w:rPr>
          <w:sz w:val="32"/>
        </w:rPr>
        <w:t xml:space="preserve">het prozaïsche, </w:t>
      </w:r>
      <w:r w:rsidR="00C06232" w:rsidRPr="003872E4">
        <w:rPr>
          <w:sz w:val="32"/>
        </w:rPr>
        <w:t xml:space="preserve">het futiele, het nuttige, </w:t>
      </w:r>
      <w:r w:rsidR="00793B47" w:rsidRPr="003872E4">
        <w:rPr>
          <w:sz w:val="32"/>
        </w:rPr>
        <w:t>hij ziet niet wat ons overstijgt</w:t>
      </w:r>
      <w:r w:rsidR="00657D51" w:rsidRPr="003872E4">
        <w:rPr>
          <w:sz w:val="32"/>
        </w:rPr>
        <w:t xml:space="preserve">, hij zit vast in het concrete en ziet </w:t>
      </w:r>
      <w:r w:rsidR="00BF6D98" w:rsidRPr="003872E4">
        <w:rPr>
          <w:sz w:val="32"/>
        </w:rPr>
        <w:t xml:space="preserve">het conceptuele niet, het grote, het </w:t>
      </w:r>
      <w:r w:rsidR="00897B54" w:rsidRPr="003872E4">
        <w:rPr>
          <w:sz w:val="32"/>
        </w:rPr>
        <w:t>gedroomde</w:t>
      </w:r>
      <w:r w:rsidR="008856D9" w:rsidRPr="003872E4">
        <w:rPr>
          <w:sz w:val="32"/>
        </w:rPr>
        <w:t xml:space="preserve">, de utopie. </w:t>
      </w:r>
    </w:p>
    <w:p w:rsidR="008856D9" w:rsidRPr="003872E4" w:rsidRDefault="008856D9" w:rsidP="003558E1">
      <w:pPr>
        <w:pStyle w:val="Lijstalinea"/>
        <w:ind w:left="0"/>
        <w:rPr>
          <w:sz w:val="32"/>
        </w:rPr>
      </w:pPr>
    </w:p>
    <w:p w:rsidR="008856D9" w:rsidRPr="003872E4" w:rsidRDefault="008856D9" w:rsidP="003558E1">
      <w:pPr>
        <w:pStyle w:val="Lijstalinea"/>
        <w:ind w:left="0"/>
        <w:rPr>
          <w:sz w:val="32"/>
        </w:rPr>
      </w:pPr>
      <w:r w:rsidRPr="003872E4">
        <w:rPr>
          <w:sz w:val="32"/>
        </w:rPr>
        <w:t xml:space="preserve">De Franse filosoof Raphaël Enthoven heeft een </w:t>
      </w:r>
      <w:r w:rsidR="00560B0B" w:rsidRPr="003872E4">
        <w:rPr>
          <w:sz w:val="32"/>
        </w:rPr>
        <w:t xml:space="preserve">briljant </w:t>
      </w:r>
      <w:r w:rsidR="000C6B5A" w:rsidRPr="003872E4">
        <w:rPr>
          <w:sz w:val="32"/>
        </w:rPr>
        <w:t>essay</w:t>
      </w:r>
      <w:r w:rsidRPr="003872E4">
        <w:rPr>
          <w:sz w:val="32"/>
        </w:rPr>
        <w:t xml:space="preserve"> geschreven waarin hij die wijsheid in vraag stelt.</w:t>
      </w:r>
      <w:r w:rsidR="00330C39" w:rsidRPr="003872E4">
        <w:rPr>
          <w:rStyle w:val="Voetnootmarkering"/>
          <w:sz w:val="32"/>
        </w:rPr>
        <w:footnoteReference w:id="12"/>
      </w:r>
      <w:r w:rsidRPr="003872E4">
        <w:rPr>
          <w:sz w:val="32"/>
        </w:rPr>
        <w:t xml:space="preserve"> </w:t>
      </w:r>
      <w:r w:rsidR="00EC2174" w:rsidRPr="003872E4">
        <w:rPr>
          <w:sz w:val="32"/>
        </w:rPr>
        <w:t xml:space="preserve">Die </w:t>
      </w:r>
      <w:r w:rsidR="00560B0B" w:rsidRPr="003872E4">
        <w:rPr>
          <w:sz w:val="32"/>
        </w:rPr>
        <w:t>Enthoven is niet de eerste de beste</w:t>
      </w:r>
      <w:r w:rsidR="00CC3367" w:rsidRPr="003872E4">
        <w:rPr>
          <w:sz w:val="32"/>
        </w:rPr>
        <w:t>; hij heeft nogal wat pijlen op zijn boog</w:t>
      </w:r>
      <w:r w:rsidR="00560B0B" w:rsidRPr="003872E4">
        <w:rPr>
          <w:sz w:val="32"/>
        </w:rPr>
        <w:t>.</w:t>
      </w:r>
      <w:r w:rsidR="00CC632B" w:rsidRPr="003872E4">
        <w:rPr>
          <w:sz w:val="32"/>
        </w:rPr>
        <w:t xml:space="preserve"> </w:t>
      </w:r>
      <w:r w:rsidR="007C11DE" w:rsidRPr="003872E4">
        <w:rPr>
          <w:sz w:val="32"/>
        </w:rPr>
        <w:t xml:space="preserve">Zo was hij </w:t>
      </w:r>
      <w:r w:rsidR="00560B0B" w:rsidRPr="003872E4">
        <w:rPr>
          <w:sz w:val="32"/>
        </w:rPr>
        <w:t>tussen 2001 en 2007 de levenspartner van Carla Bruni</w:t>
      </w:r>
      <w:r w:rsidR="003A2CCC" w:rsidRPr="003872E4">
        <w:rPr>
          <w:sz w:val="32"/>
        </w:rPr>
        <w:t xml:space="preserve">, </w:t>
      </w:r>
      <w:r w:rsidR="00EC2174" w:rsidRPr="003872E4">
        <w:rPr>
          <w:sz w:val="32"/>
        </w:rPr>
        <w:t>de latere Franse presidentsvrouw</w:t>
      </w:r>
      <w:r w:rsidR="00CC3367" w:rsidRPr="003872E4">
        <w:rPr>
          <w:sz w:val="32"/>
        </w:rPr>
        <w:t xml:space="preserve">, en de vader van haar zoon </w:t>
      </w:r>
      <w:proofErr w:type="spellStart"/>
      <w:r w:rsidR="00CC3367" w:rsidRPr="003872E4">
        <w:rPr>
          <w:sz w:val="32"/>
        </w:rPr>
        <w:t>Aurélien</w:t>
      </w:r>
      <w:proofErr w:type="spellEnd"/>
      <w:r w:rsidR="00C027BC" w:rsidRPr="003872E4">
        <w:rPr>
          <w:sz w:val="32"/>
        </w:rPr>
        <w:t xml:space="preserve">. </w:t>
      </w:r>
      <w:r w:rsidR="00A602BE" w:rsidRPr="003872E4">
        <w:rPr>
          <w:sz w:val="32"/>
        </w:rPr>
        <w:t xml:space="preserve">Een man met </w:t>
      </w:r>
      <w:r w:rsidR="000800C3" w:rsidRPr="003872E4">
        <w:rPr>
          <w:sz w:val="32"/>
        </w:rPr>
        <w:t xml:space="preserve">levenservaring dus. </w:t>
      </w:r>
    </w:p>
    <w:p w:rsidR="00330C39" w:rsidRPr="003872E4" w:rsidRDefault="00330C39" w:rsidP="003558E1">
      <w:pPr>
        <w:pStyle w:val="Lijstalinea"/>
        <w:ind w:left="0"/>
        <w:rPr>
          <w:sz w:val="32"/>
        </w:rPr>
      </w:pPr>
    </w:p>
    <w:p w:rsidR="00330C39" w:rsidRPr="003872E4" w:rsidRDefault="00330C39" w:rsidP="003558E1">
      <w:pPr>
        <w:pStyle w:val="Lijstalinea"/>
        <w:ind w:left="0"/>
        <w:rPr>
          <w:sz w:val="32"/>
        </w:rPr>
      </w:pPr>
      <w:r w:rsidRPr="003872E4">
        <w:rPr>
          <w:sz w:val="32"/>
        </w:rPr>
        <w:t>Nu</w:t>
      </w:r>
      <w:r w:rsidR="0062104B" w:rsidRPr="003872E4">
        <w:rPr>
          <w:sz w:val="32"/>
        </w:rPr>
        <w:t xml:space="preserve">, </w:t>
      </w:r>
      <w:r w:rsidRPr="003872E4">
        <w:rPr>
          <w:sz w:val="32"/>
        </w:rPr>
        <w:t xml:space="preserve">in dat </w:t>
      </w:r>
      <w:r w:rsidR="000C6B5A" w:rsidRPr="003872E4">
        <w:rPr>
          <w:sz w:val="32"/>
        </w:rPr>
        <w:t>essay</w:t>
      </w:r>
      <w:r w:rsidRPr="003872E4">
        <w:rPr>
          <w:sz w:val="32"/>
        </w:rPr>
        <w:t xml:space="preserve"> </w:t>
      </w:r>
      <w:r w:rsidR="00BB26E5" w:rsidRPr="003872E4">
        <w:rPr>
          <w:sz w:val="32"/>
        </w:rPr>
        <w:t xml:space="preserve">schrijft Enthoven dat </w:t>
      </w:r>
      <w:r w:rsidR="00CC3367" w:rsidRPr="003872E4">
        <w:rPr>
          <w:sz w:val="32"/>
        </w:rPr>
        <w:t>dat</w:t>
      </w:r>
      <w:r w:rsidR="00BB26E5" w:rsidRPr="003872E4">
        <w:rPr>
          <w:sz w:val="32"/>
        </w:rPr>
        <w:t xml:space="preserve"> kijken naar de maan </w:t>
      </w:r>
      <w:r w:rsidR="00CC3367" w:rsidRPr="003872E4">
        <w:rPr>
          <w:sz w:val="32"/>
        </w:rPr>
        <w:t xml:space="preserve">van de vermeende wijze </w:t>
      </w:r>
      <w:r w:rsidR="00BB26E5" w:rsidRPr="003872E4">
        <w:rPr>
          <w:sz w:val="32"/>
        </w:rPr>
        <w:t xml:space="preserve">helemaal niet zo </w:t>
      </w:r>
      <w:r w:rsidR="00C736FB" w:rsidRPr="003872E4">
        <w:rPr>
          <w:sz w:val="32"/>
        </w:rPr>
        <w:t xml:space="preserve">verheven is, het is wijzen naar het onbereikbare, het ongrijpbare, de wensdroom. Is het dan niet veel wijzer om naar het </w:t>
      </w:r>
      <w:r w:rsidR="007E0A50" w:rsidRPr="003872E4">
        <w:rPr>
          <w:sz w:val="32"/>
        </w:rPr>
        <w:t>concrete te kijken, de wereld om ons heen, deze waarin wij leven. In de praktijk, is het dat niet wat wij doen</w:t>
      </w:r>
      <w:r w:rsidR="005857A6" w:rsidRPr="003872E4">
        <w:rPr>
          <w:sz w:val="32"/>
        </w:rPr>
        <w:t>, wat wij willen doen</w:t>
      </w:r>
      <w:r w:rsidR="00CC3367" w:rsidRPr="003872E4">
        <w:rPr>
          <w:sz w:val="32"/>
        </w:rPr>
        <w:t>,</w:t>
      </w:r>
      <w:r w:rsidR="005857A6" w:rsidRPr="003872E4">
        <w:rPr>
          <w:sz w:val="32"/>
        </w:rPr>
        <w:t xml:space="preserve"> en moeten doen? En laten wij het dromen niet liever over aan anderen? De spreuk moet omgedraaid worden, zegt </w:t>
      </w:r>
      <w:r w:rsidR="000C6B5A" w:rsidRPr="003872E4">
        <w:rPr>
          <w:sz w:val="32"/>
        </w:rPr>
        <w:t xml:space="preserve">Raphaël </w:t>
      </w:r>
      <w:r w:rsidR="005857A6" w:rsidRPr="003872E4">
        <w:rPr>
          <w:sz w:val="32"/>
        </w:rPr>
        <w:t xml:space="preserve">Enthoven: </w:t>
      </w:r>
      <w:r w:rsidR="00A53C10" w:rsidRPr="003872E4">
        <w:rPr>
          <w:i/>
          <w:sz w:val="32"/>
        </w:rPr>
        <w:t>als de dwaze naar de maan wijst, kijkt de wijze naar de vinger</w:t>
      </w:r>
      <w:r w:rsidR="00A53C10" w:rsidRPr="003872E4">
        <w:rPr>
          <w:sz w:val="32"/>
        </w:rPr>
        <w:t>.</w:t>
      </w:r>
    </w:p>
    <w:p w:rsidR="000800C3" w:rsidRPr="003872E4" w:rsidRDefault="000800C3" w:rsidP="003558E1">
      <w:pPr>
        <w:pStyle w:val="Lijstalinea"/>
        <w:ind w:left="0"/>
        <w:rPr>
          <w:sz w:val="32"/>
        </w:rPr>
      </w:pPr>
    </w:p>
    <w:p w:rsidR="000800C3" w:rsidRPr="003872E4" w:rsidRDefault="00CC3367" w:rsidP="00DE7C75">
      <w:pPr>
        <w:rPr>
          <w:sz w:val="32"/>
          <w:lang w:val="fr-FR"/>
        </w:rPr>
      </w:pPr>
      <w:r w:rsidRPr="003872E4">
        <w:rPr>
          <w:sz w:val="32"/>
        </w:rPr>
        <w:t>Mijnheer de Voorzitter, ik richt mij tot u, die u vandaag ontpopt hebt tot de theoreticus van de rechten op lichtere lied. Welnu, h</w:t>
      </w:r>
      <w:r w:rsidR="000800C3" w:rsidRPr="003872E4">
        <w:rPr>
          <w:sz w:val="32"/>
        </w:rPr>
        <w:t xml:space="preserve">et is over </w:t>
      </w:r>
      <w:r w:rsidR="003872E4" w:rsidRPr="003872E4">
        <w:rPr>
          <w:sz w:val="32"/>
        </w:rPr>
        <w:t>onze</w:t>
      </w:r>
      <w:r w:rsidR="000800C3" w:rsidRPr="003872E4">
        <w:rPr>
          <w:sz w:val="32"/>
        </w:rPr>
        <w:t xml:space="preserve"> </w:t>
      </w:r>
      <w:proofErr w:type="spellStart"/>
      <w:r w:rsidR="000800C3" w:rsidRPr="003872E4">
        <w:rPr>
          <w:sz w:val="32"/>
        </w:rPr>
        <w:t>Raphaël</w:t>
      </w:r>
      <w:proofErr w:type="spellEnd"/>
      <w:r w:rsidR="000800C3" w:rsidRPr="003872E4">
        <w:rPr>
          <w:sz w:val="32"/>
        </w:rPr>
        <w:t xml:space="preserve"> dat Carla </w:t>
      </w:r>
      <w:proofErr w:type="spellStart"/>
      <w:r w:rsidR="000800C3" w:rsidRPr="003872E4">
        <w:rPr>
          <w:sz w:val="32"/>
        </w:rPr>
        <w:t>Bruni</w:t>
      </w:r>
      <w:proofErr w:type="spellEnd"/>
      <w:r w:rsidR="000800C3" w:rsidRPr="003872E4">
        <w:rPr>
          <w:sz w:val="32"/>
        </w:rPr>
        <w:t xml:space="preserve"> in haar gelijknamig</w:t>
      </w:r>
      <w:r w:rsidR="00EF0101" w:rsidRPr="003872E4">
        <w:rPr>
          <w:sz w:val="32"/>
        </w:rPr>
        <w:t>e</w:t>
      </w:r>
      <w:r w:rsidR="000800C3" w:rsidRPr="003872E4">
        <w:rPr>
          <w:sz w:val="32"/>
        </w:rPr>
        <w:t xml:space="preserve"> lied schrijft: “</w:t>
      </w:r>
      <w:proofErr w:type="spellStart"/>
      <w:r w:rsidR="009C70C9" w:rsidRPr="003872E4">
        <w:rPr>
          <w:i/>
          <w:sz w:val="32"/>
        </w:rPr>
        <w:t>Raphaël</w:t>
      </w:r>
      <w:proofErr w:type="spellEnd"/>
      <w:r w:rsidR="009C70C9" w:rsidRPr="003872E4">
        <w:rPr>
          <w:i/>
          <w:sz w:val="32"/>
        </w:rPr>
        <w:t>...</w:t>
      </w:r>
      <w:r w:rsidR="00DE7C75" w:rsidRPr="003872E4">
        <w:rPr>
          <w:i/>
          <w:sz w:val="32"/>
        </w:rPr>
        <w:t xml:space="preserve"> </w:t>
      </w:r>
      <w:r w:rsidR="009C70C9" w:rsidRPr="003872E4">
        <w:rPr>
          <w:i/>
          <w:sz w:val="32"/>
          <w:lang w:val="fr-FR"/>
        </w:rPr>
        <w:t>Il a l'air d'un ange, mais c'est un diable de l'amour</w:t>
      </w:r>
      <w:r w:rsidR="00DE7C75" w:rsidRPr="003872E4">
        <w:rPr>
          <w:i/>
          <w:sz w:val="32"/>
          <w:lang w:val="fr-FR"/>
        </w:rPr>
        <w:t xml:space="preserve"> (…)</w:t>
      </w:r>
      <w:r w:rsidR="00EF0101" w:rsidRPr="003872E4">
        <w:rPr>
          <w:i/>
          <w:sz w:val="32"/>
          <w:lang w:val="fr-FR"/>
        </w:rPr>
        <w:t>.</w:t>
      </w:r>
      <w:r w:rsidR="00DE7C75" w:rsidRPr="003872E4">
        <w:rPr>
          <w:sz w:val="32"/>
          <w:lang w:val="fr-FR"/>
        </w:rPr>
        <w:t>”</w:t>
      </w:r>
    </w:p>
    <w:p w:rsidR="00EF0101" w:rsidRPr="003872E4" w:rsidRDefault="00EF0101" w:rsidP="00DE7C75">
      <w:pPr>
        <w:rPr>
          <w:sz w:val="32"/>
          <w:lang w:val="fr-FR"/>
        </w:rPr>
      </w:pPr>
    </w:p>
    <w:p w:rsidR="00EF0101" w:rsidRPr="003872E4" w:rsidRDefault="0047392B" w:rsidP="00DE7C75">
      <w:pPr>
        <w:rPr>
          <w:sz w:val="32"/>
        </w:rPr>
      </w:pPr>
      <w:proofErr w:type="spellStart"/>
      <w:r w:rsidRPr="003872E4">
        <w:rPr>
          <w:i/>
          <w:sz w:val="32"/>
        </w:rPr>
        <w:t>Un</w:t>
      </w:r>
      <w:proofErr w:type="spellEnd"/>
      <w:r w:rsidRPr="003872E4">
        <w:rPr>
          <w:i/>
          <w:sz w:val="32"/>
        </w:rPr>
        <w:t xml:space="preserve"> </w:t>
      </w:r>
      <w:proofErr w:type="spellStart"/>
      <w:r w:rsidRPr="003872E4">
        <w:rPr>
          <w:i/>
          <w:sz w:val="32"/>
        </w:rPr>
        <w:t>diable</w:t>
      </w:r>
      <w:proofErr w:type="spellEnd"/>
      <w:r w:rsidRPr="003872E4">
        <w:rPr>
          <w:i/>
          <w:sz w:val="32"/>
        </w:rPr>
        <w:t xml:space="preserve"> de </w:t>
      </w:r>
      <w:proofErr w:type="spellStart"/>
      <w:r w:rsidRPr="003872E4">
        <w:rPr>
          <w:i/>
          <w:sz w:val="32"/>
        </w:rPr>
        <w:t>l’amour</w:t>
      </w:r>
      <w:proofErr w:type="spellEnd"/>
      <w:r w:rsidRPr="003872E4">
        <w:rPr>
          <w:sz w:val="32"/>
        </w:rPr>
        <w:t xml:space="preserve">, maar wij advocaten, wij weten dat </w:t>
      </w:r>
      <w:r w:rsidR="003872E4" w:rsidRPr="003872E4">
        <w:rPr>
          <w:sz w:val="32"/>
        </w:rPr>
        <w:t>echte</w:t>
      </w:r>
      <w:r w:rsidRPr="003872E4">
        <w:rPr>
          <w:sz w:val="32"/>
        </w:rPr>
        <w:t xml:space="preserve"> duivel </w:t>
      </w:r>
      <w:r w:rsidR="00511B3A" w:rsidRPr="003872E4">
        <w:rPr>
          <w:sz w:val="32"/>
        </w:rPr>
        <w:t>in het detail zit: “</w:t>
      </w:r>
      <w:r w:rsidR="00511B3A" w:rsidRPr="003872E4">
        <w:rPr>
          <w:i/>
          <w:sz w:val="32"/>
        </w:rPr>
        <w:t>the devil is in the detail.</w:t>
      </w:r>
      <w:r w:rsidR="00511B3A" w:rsidRPr="003872E4">
        <w:rPr>
          <w:sz w:val="32"/>
        </w:rPr>
        <w:t>”</w:t>
      </w:r>
      <w:r w:rsidR="000C6B5A" w:rsidRPr="003872E4">
        <w:rPr>
          <w:sz w:val="32"/>
        </w:rPr>
        <w:t xml:space="preserve"> In de argumentatie</w:t>
      </w:r>
      <w:r w:rsidR="00413242" w:rsidRPr="003872E4">
        <w:rPr>
          <w:sz w:val="32"/>
        </w:rPr>
        <w:t xml:space="preserve">leer die bewijsvoering heet, in de bewijslastrisicotheorie die straks wellicht wet wordt, </w:t>
      </w:r>
      <w:r w:rsidR="009E4B19" w:rsidRPr="003872E4">
        <w:rPr>
          <w:sz w:val="32"/>
        </w:rPr>
        <w:t>zijn wij</w:t>
      </w:r>
      <w:r w:rsidR="00EA5685" w:rsidRPr="003872E4">
        <w:rPr>
          <w:sz w:val="32"/>
        </w:rPr>
        <w:t xml:space="preserve"> vooral</w:t>
      </w:r>
      <w:r w:rsidR="009E4B19" w:rsidRPr="003872E4">
        <w:rPr>
          <w:sz w:val="32"/>
        </w:rPr>
        <w:t xml:space="preserve"> de wijze die naar de vinger kijkt</w:t>
      </w:r>
      <w:r w:rsidR="00CE3F03" w:rsidRPr="003872E4">
        <w:rPr>
          <w:sz w:val="32"/>
        </w:rPr>
        <w:t xml:space="preserve">, </w:t>
      </w:r>
      <w:r w:rsidR="00EA5685" w:rsidRPr="003872E4">
        <w:rPr>
          <w:sz w:val="32"/>
        </w:rPr>
        <w:t>veel meer dan deze die naar de maan tuurt</w:t>
      </w:r>
      <w:r w:rsidR="00CC3367" w:rsidRPr="003872E4">
        <w:rPr>
          <w:sz w:val="32"/>
        </w:rPr>
        <w:t>. Wij moeten</w:t>
      </w:r>
      <w:r w:rsidR="00CE3F03" w:rsidRPr="003872E4">
        <w:rPr>
          <w:sz w:val="32"/>
        </w:rPr>
        <w:t xml:space="preserve"> de </w:t>
      </w:r>
      <w:r w:rsidR="00CC3367" w:rsidRPr="003872E4">
        <w:rPr>
          <w:sz w:val="32"/>
        </w:rPr>
        <w:t>puzzelstukken</w:t>
      </w:r>
      <w:r w:rsidR="00CE3F03" w:rsidRPr="003872E4">
        <w:rPr>
          <w:sz w:val="32"/>
        </w:rPr>
        <w:t xml:space="preserve"> bijeen leggen</w:t>
      </w:r>
      <w:r w:rsidR="00CC3367" w:rsidRPr="003872E4">
        <w:rPr>
          <w:sz w:val="32"/>
        </w:rPr>
        <w:t>. Wij weten da</w:t>
      </w:r>
      <w:r w:rsidR="00A72480" w:rsidRPr="003872E4">
        <w:rPr>
          <w:sz w:val="32"/>
        </w:rPr>
        <w:t xml:space="preserve">t wie aan de beurt is om het laatste stuk te leggen, </w:t>
      </w:r>
      <w:r w:rsidR="007E013D" w:rsidRPr="003872E4">
        <w:rPr>
          <w:sz w:val="32"/>
        </w:rPr>
        <w:t>de zaak verliest als hij dat niet kan</w:t>
      </w:r>
      <w:r w:rsidR="00CE3F03" w:rsidRPr="003872E4">
        <w:rPr>
          <w:sz w:val="32"/>
        </w:rPr>
        <w:t>.</w:t>
      </w:r>
      <w:r w:rsidR="00C27A47" w:rsidRPr="003872E4">
        <w:rPr>
          <w:sz w:val="32"/>
        </w:rPr>
        <w:t xml:space="preserve"> Ons métier bestaat erin </w:t>
      </w:r>
      <w:r w:rsidR="00E005DF" w:rsidRPr="003872E4">
        <w:rPr>
          <w:sz w:val="32"/>
        </w:rPr>
        <w:t>geduldig, met oog voor het kleinste detail, de bewijzen aan te leveren, ze bevattelijk en overtuigend te formuleren</w:t>
      </w:r>
      <w:r w:rsidR="006961C7" w:rsidRPr="003872E4">
        <w:rPr>
          <w:sz w:val="32"/>
        </w:rPr>
        <w:t xml:space="preserve">. Het is fijnmazig ambachtswerk, </w:t>
      </w:r>
      <w:r w:rsidR="003872E4" w:rsidRPr="003872E4">
        <w:rPr>
          <w:sz w:val="32"/>
        </w:rPr>
        <w:t>niet de</w:t>
      </w:r>
      <w:r w:rsidR="006961C7" w:rsidRPr="003872E4">
        <w:rPr>
          <w:sz w:val="32"/>
        </w:rPr>
        <w:t xml:space="preserve"> droomwereld</w:t>
      </w:r>
      <w:r w:rsidR="003872E4" w:rsidRPr="003872E4">
        <w:rPr>
          <w:sz w:val="32"/>
        </w:rPr>
        <w:t xml:space="preserve"> van de dwaas</w:t>
      </w:r>
      <w:r w:rsidR="006961C7" w:rsidRPr="003872E4">
        <w:rPr>
          <w:sz w:val="32"/>
        </w:rPr>
        <w:t>.</w:t>
      </w:r>
      <w:r w:rsidR="003C0E82" w:rsidRPr="003872E4">
        <w:rPr>
          <w:sz w:val="32"/>
        </w:rPr>
        <w:t xml:space="preserve"> </w:t>
      </w:r>
    </w:p>
    <w:p w:rsidR="00B44408" w:rsidRPr="003872E4" w:rsidRDefault="00B44408" w:rsidP="00DE7C75">
      <w:pPr>
        <w:rPr>
          <w:sz w:val="32"/>
        </w:rPr>
      </w:pPr>
    </w:p>
    <w:p w:rsidR="00B44408" w:rsidRPr="003872E4" w:rsidRDefault="00B44408" w:rsidP="00DE7C75">
      <w:pPr>
        <w:rPr>
          <w:sz w:val="32"/>
        </w:rPr>
      </w:pPr>
      <w:r w:rsidRPr="003872E4">
        <w:rPr>
          <w:sz w:val="32"/>
        </w:rPr>
        <w:t xml:space="preserve">Dat is, denk ik, wat wij vandaag geleerd hebben. </w:t>
      </w:r>
    </w:p>
    <w:p w:rsidR="00B44408" w:rsidRPr="003872E4" w:rsidRDefault="00B44408" w:rsidP="00DE7C75">
      <w:pPr>
        <w:rPr>
          <w:sz w:val="32"/>
        </w:rPr>
      </w:pPr>
    </w:p>
    <w:p w:rsidR="00B44408" w:rsidRPr="003872E4" w:rsidRDefault="003872E4" w:rsidP="00DE7C75">
      <w:pPr>
        <w:rPr>
          <w:sz w:val="32"/>
        </w:rPr>
      </w:pPr>
      <w:r w:rsidRPr="003872E4">
        <w:rPr>
          <w:sz w:val="32"/>
        </w:rPr>
        <w:t>Ik feliciteer u voor uw redevoering, mijnheer de openingsredenaar, en u, mijnheer de voorzitter, voor uw repliek</w:t>
      </w:r>
      <w:r w:rsidR="00B44408" w:rsidRPr="003872E4">
        <w:rPr>
          <w:sz w:val="32"/>
        </w:rPr>
        <w:t xml:space="preserve">. </w:t>
      </w:r>
    </w:p>
    <w:p w:rsidR="003872E4" w:rsidRPr="003872E4" w:rsidRDefault="003872E4" w:rsidP="00DE7C75">
      <w:pPr>
        <w:rPr>
          <w:sz w:val="32"/>
        </w:rPr>
      </w:pPr>
    </w:p>
    <w:p w:rsidR="003872E4" w:rsidRPr="003872E4" w:rsidRDefault="00ED0BF8" w:rsidP="00DE7C75">
      <w:pPr>
        <w:rPr>
          <w:sz w:val="32"/>
        </w:rPr>
      </w:pPr>
      <w:r>
        <w:rPr>
          <w:sz w:val="32"/>
        </w:rPr>
        <w:t>Ik dank u, mijnheer de eerste voorzitter en de dames en heren</w:t>
      </w:r>
      <w:r w:rsidR="003872E4" w:rsidRPr="003872E4">
        <w:rPr>
          <w:sz w:val="32"/>
        </w:rPr>
        <w:t xml:space="preserve"> korpsoversten </w:t>
      </w:r>
      <w:r>
        <w:rPr>
          <w:sz w:val="32"/>
        </w:rPr>
        <w:t xml:space="preserve">van de rechtbanken </w:t>
      </w:r>
      <w:r w:rsidR="003872E4" w:rsidRPr="003872E4">
        <w:rPr>
          <w:sz w:val="32"/>
        </w:rPr>
        <w:t xml:space="preserve">en </w:t>
      </w:r>
      <w:r>
        <w:rPr>
          <w:sz w:val="32"/>
        </w:rPr>
        <w:t xml:space="preserve">de andere </w:t>
      </w:r>
      <w:r w:rsidR="003872E4" w:rsidRPr="003872E4">
        <w:rPr>
          <w:sz w:val="32"/>
        </w:rPr>
        <w:t>magistraten</w:t>
      </w:r>
      <w:r>
        <w:rPr>
          <w:sz w:val="32"/>
        </w:rPr>
        <w:t>, voor uw aanwezigheid die ik als zeer belangrijk beschouw</w:t>
      </w:r>
      <w:r w:rsidR="003872E4" w:rsidRPr="003872E4">
        <w:rPr>
          <w:sz w:val="32"/>
        </w:rPr>
        <w:t>.</w:t>
      </w:r>
    </w:p>
    <w:p w:rsidR="003872E4" w:rsidRPr="003872E4" w:rsidRDefault="003872E4" w:rsidP="00DE7C75">
      <w:pPr>
        <w:rPr>
          <w:sz w:val="32"/>
        </w:rPr>
      </w:pPr>
    </w:p>
    <w:p w:rsidR="00B44408" w:rsidRDefault="00ED0BF8" w:rsidP="00DE7C75">
      <w:pPr>
        <w:rPr>
          <w:sz w:val="32"/>
          <w:lang w:val="fr-FR"/>
        </w:rPr>
      </w:pPr>
      <w:r>
        <w:rPr>
          <w:sz w:val="32"/>
        </w:rPr>
        <w:t xml:space="preserve">Ik dank verder </w:t>
      </w:r>
      <w:r w:rsidR="003872E4" w:rsidRPr="003872E4">
        <w:rPr>
          <w:sz w:val="32"/>
        </w:rPr>
        <w:t xml:space="preserve">de </w:t>
      </w:r>
      <w:r>
        <w:rPr>
          <w:sz w:val="32"/>
        </w:rPr>
        <w:t xml:space="preserve">aanwezige </w:t>
      </w:r>
      <w:r w:rsidR="003872E4" w:rsidRPr="003872E4">
        <w:rPr>
          <w:sz w:val="32"/>
        </w:rPr>
        <w:t xml:space="preserve">stafhouders, </w:t>
      </w:r>
      <w:r>
        <w:rPr>
          <w:sz w:val="32"/>
        </w:rPr>
        <w:t>met een bijzondere vermelding voor stafhouder</w:t>
      </w:r>
      <w:r w:rsidR="003872E4" w:rsidRPr="003872E4">
        <w:rPr>
          <w:sz w:val="32"/>
        </w:rPr>
        <w:t xml:space="preserve"> Michel </w:t>
      </w:r>
      <w:proofErr w:type="spellStart"/>
      <w:r w:rsidR="003872E4" w:rsidRPr="003872E4">
        <w:rPr>
          <w:sz w:val="32"/>
        </w:rPr>
        <w:t>Forges</w:t>
      </w:r>
      <w:proofErr w:type="spellEnd"/>
      <w:r>
        <w:rPr>
          <w:sz w:val="32"/>
        </w:rPr>
        <w:t xml:space="preserve">. </w:t>
      </w:r>
      <w:r w:rsidRPr="009B1DD4">
        <w:rPr>
          <w:i/>
          <w:sz w:val="32"/>
          <w:lang w:val="fr-FR"/>
        </w:rPr>
        <w:t>Mon cher Michel, c’est un véritable plaisir de pouvoir travailler avec toi, de faire en ta compagnie les visites dites protocolaires, et de prendre la parole à des séminaires et autres journées d’études, parfois au pied levé</w:t>
      </w:r>
      <w:r w:rsidR="00DF6B2C" w:rsidRPr="009B1DD4">
        <w:rPr>
          <w:i/>
          <w:sz w:val="32"/>
          <w:lang w:val="fr-FR"/>
        </w:rPr>
        <w:t xml:space="preserve">. Je te remercie pour ta présence aujourd’hui et me réjouis déjà de pouvoir continuer à travailler avec toi </w:t>
      </w:r>
      <w:r w:rsidR="009B1DD4">
        <w:rPr>
          <w:i/>
          <w:sz w:val="32"/>
          <w:lang w:val="fr-FR"/>
        </w:rPr>
        <w:t>pendant</w:t>
      </w:r>
      <w:r w:rsidR="00DF6B2C" w:rsidRPr="009B1DD4">
        <w:rPr>
          <w:i/>
          <w:sz w:val="32"/>
          <w:lang w:val="fr-FR"/>
        </w:rPr>
        <w:t xml:space="preserve"> ces deux années de bâtonnat.</w:t>
      </w:r>
      <w:r w:rsidR="003872E4" w:rsidRPr="00DF6B2C">
        <w:rPr>
          <w:sz w:val="32"/>
          <w:lang w:val="fr-FR"/>
        </w:rPr>
        <w:t xml:space="preserve"> </w:t>
      </w:r>
    </w:p>
    <w:p w:rsidR="00DF6B2C" w:rsidRPr="00DF6B2C" w:rsidRDefault="00DF6B2C" w:rsidP="00DE7C75">
      <w:pPr>
        <w:rPr>
          <w:sz w:val="32"/>
          <w:lang w:val="fr-FR"/>
        </w:rPr>
      </w:pPr>
    </w:p>
    <w:p w:rsidR="00B44408" w:rsidRPr="003872E4" w:rsidRDefault="00DF6B2C" w:rsidP="00DE7C75">
      <w:pPr>
        <w:rPr>
          <w:sz w:val="32"/>
        </w:rPr>
      </w:pPr>
      <w:r>
        <w:rPr>
          <w:sz w:val="32"/>
        </w:rPr>
        <w:t>Verder houd ik eraan mijn dank te zeggen aan</w:t>
      </w:r>
    </w:p>
    <w:p w:rsidR="00D82A1F" w:rsidRPr="003872E4" w:rsidRDefault="00DF6B2C" w:rsidP="00B44408">
      <w:pPr>
        <w:pStyle w:val="Lijstalinea"/>
        <w:numPr>
          <w:ilvl w:val="0"/>
          <w:numId w:val="2"/>
        </w:numPr>
        <w:rPr>
          <w:sz w:val="32"/>
        </w:rPr>
      </w:pPr>
      <w:r>
        <w:rPr>
          <w:sz w:val="32"/>
        </w:rPr>
        <w:lastRenderedPageBreak/>
        <w:t xml:space="preserve">De </w:t>
      </w:r>
      <w:r w:rsidR="00D82A1F" w:rsidRPr="003872E4">
        <w:rPr>
          <w:sz w:val="32"/>
        </w:rPr>
        <w:t xml:space="preserve">Voorzitter </w:t>
      </w:r>
      <w:r>
        <w:rPr>
          <w:sz w:val="32"/>
        </w:rPr>
        <w:t xml:space="preserve">van het </w:t>
      </w:r>
      <w:r w:rsidR="00D82A1F" w:rsidRPr="003872E4">
        <w:rPr>
          <w:sz w:val="32"/>
        </w:rPr>
        <w:t>VPG</w:t>
      </w:r>
      <w:r w:rsidR="003872E4" w:rsidRPr="003872E4">
        <w:rPr>
          <w:sz w:val="32"/>
        </w:rPr>
        <w:t xml:space="preserve"> en zijn team</w:t>
      </w:r>
      <w:r w:rsidR="00D82A1F" w:rsidRPr="003872E4">
        <w:rPr>
          <w:sz w:val="32"/>
        </w:rPr>
        <w:t xml:space="preserve"> </w:t>
      </w:r>
      <w:r>
        <w:rPr>
          <w:sz w:val="32"/>
        </w:rPr>
        <w:t>alsook mevrouw</w:t>
      </w:r>
      <w:r w:rsidR="00D82A1F" w:rsidRPr="003872E4">
        <w:rPr>
          <w:sz w:val="32"/>
        </w:rPr>
        <w:t xml:space="preserve"> Marleen </w:t>
      </w:r>
      <w:proofErr w:type="spellStart"/>
      <w:r w:rsidR="00D82A1F" w:rsidRPr="003872E4">
        <w:rPr>
          <w:sz w:val="32"/>
        </w:rPr>
        <w:t>Dezaegher</w:t>
      </w:r>
      <w:proofErr w:type="spellEnd"/>
      <w:r>
        <w:rPr>
          <w:sz w:val="32"/>
        </w:rPr>
        <w:t>,</w:t>
      </w:r>
    </w:p>
    <w:p w:rsidR="00B44408" w:rsidRPr="003872E4" w:rsidRDefault="00DF6B2C" w:rsidP="00B44408">
      <w:pPr>
        <w:pStyle w:val="Lijstalinea"/>
        <w:numPr>
          <w:ilvl w:val="0"/>
          <w:numId w:val="2"/>
        </w:numPr>
        <w:rPr>
          <w:sz w:val="32"/>
        </w:rPr>
      </w:pPr>
      <w:r>
        <w:rPr>
          <w:sz w:val="32"/>
        </w:rPr>
        <w:t>Het p</w:t>
      </w:r>
      <w:r w:rsidR="00B44408" w:rsidRPr="003872E4">
        <w:rPr>
          <w:sz w:val="32"/>
        </w:rPr>
        <w:t>ersoneel van de Orde</w:t>
      </w:r>
      <w:r w:rsidR="003872E4" w:rsidRPr="003872E4">
        <w:rPr>
          <w:sz w:val="32"/>
        </w:rPr>
        <w:t xml:space="preserve">: Els, </w:t>
      </w:r>
      <w:r w:rsidR="009B1DD4">
        <w:rPr>
          <w:sz w:val="32"/>
        </w:rPr>
        <w:t xml:space="preserve">Annick, Peggy, </w:t>
      </w:r>
      <w:r w:rsidR="003872E4" w:rsidRPr="003872E4">
        <w:rPr>
          <w:sz w:val="32"/>
        </w:rPr>
        <w:t>Jennifer, Vanessa, Anja.</w:t>
      </w:r>
    </w:p>
    <w:p w:rsidR="00B44408" w:rsidRPr="003872E4" w:rsidRDefault="00DF6B2C" w:rsidP="00B44408">
      <w:pPr>
        <w:pStyle w:val="Lijstalinea"/>
        <w:numPr>
          <w:ilvl w:val="0"/>
          <w:numId w:val="2"/>
        </w:numPr>
        <w:rPr>
          <w:sz w:val="32"/>
        </w:rPr>
      </w:pPr>
      <w:r>
        <w:rPr>
          <w:sz w:val="32"/>
        </w:rPr>
        <w:t xml:space="preserve">Mr. </w:t>
      </w:r>
      <w:r w:rsidR="00B44408" w:rsidRPr="003872E4">
        <w:rPr>
          <w:sz w:val="32"/>
        </w:rPr>
        <w:t xml:space="preserve">Luc </w:t>
      </w:r>
      <w:r>
        <w:rPr>
          <w:sz w:val="32"/>
        </w:rPr>
        <w:t xml:space="preserve">Vanheeswijck </w:t>
      </w:r>
      <w:r w:rsidR="00B44408" w:rsidRPr="003872E4">
        <w:rPr>
          <w:sz w:val="32"/>
        </w:rPr>
        <w:t>en</w:t>
      </w:r>
      <w:r w:rsidR="009B1DD4">
        <w:rPr>
          <w:sz w:val="32"/>
        </w:rPr>
        <w:t>,</w:t>
      </w:r>
      <w:r>
        <w:rPr>
          <w:sz w:val="32"/>
        </w:rPr>
        <w:t xml:space="preserve"> zo mogelijk voor vandaag nog meer</w:t>
      </w:r>
      <w:r w:rsidR="009B1DD4">
        <w:rPr>
          <w:sz w:val="32"/>
        </w:rPr>
        <w:t>,</w:t>
      </w:r>
      <w:r>
        <w:rPr>
          <w:sz w:val="32"/>
        </w:rPr>
        <w:t xml:space="preserve"> Mr. </w:t>
      </w:r>
      <w:r w:rsidR="00B44408" w:rsidRPr="003872E4">
        <w:rPr>
          <w:sz w:val="32"/>
        </w:rPr>
        <w:t>Krista</w:t>
      </w:r>
      <w:r>
        <w:rPr>
          <w:sz w:val="32"/>
        </w:rPr>
        <w:t xml:space="preserve"> Esselens.</w:t>
      </w:r>
    </w:p>
    <w:p w:rsidR="00B44408" w:rsidRPr="003872E4" w:rsidRDefault="00DF6B2C" w:rsidP="00B44408">
      <w:pPr>
        <w:pStyle w:val="Lijstalinea"/>
        <w:numPr>
          <w:ilvl w:val="0"/>
          <w:numId w:val="2"/>
        </w:numPr>
        <w:rPr>
          <w:sz w:val="32"/>
        </w:rPr>
      </w:pPr>
      <w:r>
        <w:rPr>
          <w:sz w:val="32"/>
        </w:rPr>
        <w:t>De leden van mijn r</w:t>
      </w:r>
      <w:r w:rsidR="00DF45F8" w:rsidRPr="003872E4">
        <w:rPr>
          <w:sz w:val="32"/>
        </w:rPr>
        <w:t>aad van de Orde</w:t>
      </w:r>
      <w:r>
        <w:rPr>
          <w:sz w:val="32"/>
        </w:rPr>
        <w:t>, voor al het werk dat zij verrichten.</w:t>
      </w:r>
    </w:p>
    <w:p w:rsidR="00D82A1F" w:rsidRPr="003872E4" w:rsidRDefault="00DF6B2C" w:rsidP="00B44408">
      <w:pPr>
        <w:pStyle w:val="Lijstalinea"/>
        <w:numPr>
          <w:ilvl w:val="0"/>
          <w:numId w:val="2"/>
        </w:numPr>
        <w:rPr>
          <w:sz w:val="32"/>
        </w:rPr>
      </w:pPr>
      <w:r>
        <w:rPr>
          <w:sz w:val="32"/>
        </w:rPr>
        <w:t xml:space="preserve">Mijn echtgenote </w:t>
      </w:r>
      <w:r w:rsidR="00D82A1F" w:rsidRPr="003872E4">
        <w:rPr>
          <w:sz w:val="32"/>
        </w:rPr>
        <w:t>Brigitte</w:t>
      </w:r>
      <w:r>
        <w:rPr>
          <w:sz w:val="32"/>
        </w:rPr>
        <w:t>, die zoveel dingen mogelijk maakt die anders niet mogelijk zouden geweest zijn.</w:t>
      </w:r>
    </w:p>
    <w:p w:rsidR="00DA5060" w:rsidRPr="003872E4" w:rsidRDefault="00DA5060" w:rsidP="00DE7C75">
      <w:pPr>
        <w:rPr>
          <w:sz w:val="32"/>
        </w:rPr>
      </w:pPr>
    </w:p>
    <w:p w:rsidR="00DF6B2C" w:rsidRDefault="003872E4" w:rsidP="003872E4">
      <w:pPr>
        <w:rPr>
          <w:sz w:val="32"/>
        </w:rPr>
      </w:pPr>
      <w:r w:rsidRPr="003872E4">
        <w:rPr>
          <w:sz w:val="32"/>
        </w:rPr>
        <w:t xml:space="preserve">Ik dank </w:t>
      </w:r>
      <w:r w:rsidR="008F1968" w:rsidRPr="003872E4">
        <w:rPr>
          <w:sz w:val="32"/>
        </w:rPr>
        <w:t xml:space="preserve">U allen voor uw aanwezigheid. </w:t>
      </w:r>
    </w:p>
    <w:p w:rsidR="00DF6B2C" w:rsidRDefault="00DF6B2C" w:rsidP="003872E4">
      <w:pPr>
        <w:rPr>
          <w:sz w:val="32"/>
        </w:rPr>
      </w:pPr>
    </w:p>
    <w:p w:rsidR="00201BEE" w:rsidRDefault="003872E4" w:rsidP="003872E4">
      <w:pPr>
        <w:rPr>
          <w:sz w:val="32"/>
        </w:rPr>
      </w:pPr>
      <w:r w:rsidRPr="003872E4">
        <w:rPr>
          <w:sz w:val="32"/>
        </w:rPr>
        <w:t>Leve de balie.</w:t>
      </w:r>
      <w:bookmarkStart w:id="0" w:name="_GoBack"/>
      <w:bookmarkEnd w:id="0"/>
    </w:p>
    <w:p w:rsidR="009B1DD4" w:rsidRDefault="009B1DD4" w:rsidP="003872E4">
      <w:pPr>
        <w:rPr>
          <w:sz w:val="32"/>
        </w:rPr>
      </w:pPr>
    </w:p>
    <w:p w:rsidR="009B1DD4" w:rsidRDefault="009B1DD4" w:rsidP="003872E4">
      <w:pPr>
        <w:rPr>
          <w:sz w:val="32"/>
        </w:rPr>
      </w:pPr>
      <w:r>
        <w:rPr>
          <w:sz w:val="32"/>
        </w:rPr>
        <w:t>Peter Callens</w:t>
      </w:r>
    </w:p>
    <w:p w:rsidR="009B1DD4" w:rsidRPr="003872E4" w:rsidRDefault="009B1DD4" w:rsidP="003872E4">
      <w:pPr>
        <w:rPr>
          <w:sz w:val="32"/>
        </w:rPr>
      </w:pPr>
      <w:r>
        <w:rPr>
          <w:sz w:val="32"/>
        </w:rPr>
        <w:t>Stafhouder van de Orde.</w:t>
      </w:r>
    </w:p>
    <w:sectPr w:rsidR="009B1DD4" w:rsidRPr="003872E4">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6131" w:rsidRDefault="00046131" w:rsidP="007B67A9">
      <w:r>
        <w:separator/>
      </w:r>
    </w:p>
  </w:endnote>
  <w:endnote w:type="continuationSeparator" w:id="0">
    <w:p w:rsidR="00046131" w:rsidRDefault="00046131" w:rsidP="007B6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553668337"/>
      <w:docPartObj>
        <w:docPartGallery w:val="Page Numbers (Bottom of Page)"/>
        <w:docPartUnique/>
      </w:docPartObj>
    </w:sdtPr>
    <w:sdtEndPr>
      <w:rPr>
        <w:rStyle w:val="Paginanummer"/>
      </w:rPr>
    </w:sdtEndPr>
    <w:sdtContent>
      <w:p w:rsidR="004B074E" w:rsidRDefault="004B074E" w:rsidP="00FD43C8">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sdt>
    <w:sdtPr>
      <w:rPr>
        <w:rStyle w:val="Paginanummer"/>
      </w:rPr>
      <w:id w:val="-709187703"/>
      <w:docPartObj>
        <w:docPartGallery w:val="Page Numbers (Bottom of Page)"/>
        <w:docPartUnique/>
      </w:docPartObj>
    </w:sdtPr>
    <w:sdtEndPr>
      <w:rPr>
        <w:rStyle w:val="Paginanummer"/>
      </w:rPr>
    </w:sdtEndPr>
    <w:sdtContent>
      <w:p w:rsidR="007B67A9" w:rsidRDefault="007B67A9" w:rsidP="00FD43C8">
        <w:pPr>
          <w:pStyle w:val="Voettekst"/>
          <w:framePr w:wrap="none" w:vAnchor="text" w:hAnchor="margin"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rsidR="007B67A9" w:rsidRDefault="007B67A9" w:rsidP="007B67A9">
    <w:pPr>
      <w:pStyle w:val="Voettekst"/>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744483012"/>
      <w:docPartObj>
        <w:docPartGallery w:val="Page Numbers (Bottom of Page)"/>
        <w:docPartUnique/>
      </w:docPartObj>
    </w:sdtPr>
    <w:sdtEndPr>
      <w:rPr>
        <w:rStyle w:val="Paginanummer"/>
      </w:rPr>
    </w:sdtEndPr>
    <w:sdtContent>
      <w:p w:rsidR="004B074E" w:rsidRDefault="004B074E" w:rsidP="00FD43C8">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rsidR="007B67A9" w:rsidRDefault="007B67A9" w:rsidP="004B074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6131" w:rsidRDefault="00046131" w:rsidP="007B67A9">
      <w:r>
        <w:separator/>
      </w:r>
    </w:p>
  </w:footnote>
  <w:footnote w:type="continuationSeparator" w:id="0">
    <w:p w:rsidR="00046131" w:rsidRDefault="00046131" w:rsidP="007B67A9">
      <w:r>
        <w:continuationSeparator/>
      </w:r>
    </w:p>
  </w:footnote>
  <w:footnote w:id="1">
    <w:p w:rsidR="007F0AE4" w:rsidRDefault="007F0AE4">
      <w:pPr>
        <w:pStyle w:val="Voetnoottekst"/>
      </w:pPr>
      <w:r>
        <w:rPr>
          <w:rStyle w:val="Voetnootmarkering"/>
        </w:rPr>
        <w:footnoteRef/>
      </w:r>
      <w:r>
        <w:t xml:space="preserve"> W. VAN GERVEN, </w:t>
      </w:r>
      <w:r w:rsidRPr="00E64A67">
        <w:rPr>
          <w:i/>
        </w:rPr>
        <w:t>Algemeen Deel</w:t>
      </w:r>
      <w:r>
        <w:rPr>
          <w:i/>
        </w:rPr>
        <w:t>,</w:t>
      </w:r>
      <w:r>
        <w:t xml:space="preserve"> in </w:t>
      </w:r>
      <w:r w:rsidRPr="00E64A67">
        <w:rPr>
          <w:i/>
        </w:rPr>
        <w:t>Beginselen van Belgisch Privaatrecht</w:t>
      </w:r>
      <w:r w:rsidR="00B227C8">
        <w:t>, Standaard Uitgeverij, Antwerpen,</w:t>
      </w:r>
      <w:r w:rsidRPr="00E64A67">
        <w:rPr>
          <w:i/>
        </w:rPr>
        <w:t xml:space="preserve"> </w:t>
      </w:r>
      <w:r>
        <w:t>1969</w:t>
      </w:r>
      <w:r w:rsidR="00B227C8">
        <w:t xml:space="preserve">, p. </w:t>
      </w:r>
      <w:r w:rsidR="00253C5F">
        <w:t>362 e.v.</w:t>
      </w:r>
      <w:r w:rsidR="00B227C8">
        <w:t xml:space="preserve">, </w:t>
      </w:r>
      <w:proofErr w:type="spellStart"/>
      <w:r w:rsidR="00B227C8">
        <w:t>randnr</w:t>
      </w:r>
      <w:proofErr w:type="spellEnd"/>
      <w:r w:rsidR="00B227C8">
        <w:t xml:space="preserve">. </w:t>
      </w:r>
      <w:r w:rsidR="00253C5F">
        <w:t>117.</w:t>
      </w:r>
    </w:p>
  </w:footnote>
  <w:footnote w:id="2">
    <w:p w:rsidR="006248A8" w:rsidRDefault="006248A8">
      <w:pPr>
        <w:pStyle w:val="Voetnoottekst"/>
      </w:pPr>
      <w:r>
        <w:rPr>
          <w:rStyle w:val="Voetnootmarkering"/>
        </w:rPr>
        <w:footnoteRef/>
      </w:r>
      <w:r>
        <w:t xml:space="preserve"> </w:t>
      </w:r>
      <w:r w:rsidR="00AF387F">
        <w:t>G. STEVIGNY, “</w:t>
      </w:r>
      <w:r w:rsidR="00AF387F" w:rsidRPr="00FB03F9">
        <w:rPr>
          <w:i/>
        </w:rPr>
        <w:t>De bewijslast in het burgerlijk proces</w:t>
      </w:r>
      <w:r w:rsidR="00AF387F">
        <w:t xml:space="preserve">”, R.W., 1957-58, kol. 129 e.v. </w:t>
      </w:r>
    </w:p>
  </w:footnote>
  <w:footnote w:id="3">
    <w:p w:rsidR="00E9077E" w:rsidRPr="00E055B1" w:rsidRDefault="00E9077E">
      <w:pPr>
        <w:pStyle w:val="Voetnoottekst"/>
        <w:rPr>
          <w:lang w:val="fr-FR"/>
        </w:rPr>
      </w:pPr>
      <w:r>
        <w:rPr>
          <w:rStyle w:val="Voetnootmarkering"/>
        </w:rPr>
        <w:footnoteRef/>
      </w:r>
      <w:r w:rsidRPr="00253C5F">
        <w:rPr>
          <w:lang w:val="fr-FR"/>
        </w:rPr>
        <w:t xml:space="preserve"> </w:t>
      </w:r>
      <w:r w:rsidR="00E055B1" w:rsidRPr="00253C5F">
        <w:rPr>
          <w:i/>
          <w:lang w:val="fr-FR"/>
        </w:rPr>
        <w:t xml:space="preserve">Œuvres de M. </w:t>
      </w:r>
      <w:r w:rsidR="00EE05B0" w:rsidRPr="00253C5F">
        <w:rPr>
          <w:i/>
          <w:lang w:val="fr-FR"/>
        </w:rPr>
        <w:t xml:space="preserve">le Chancelier </w:t>
      </w:r>
      <w:r w:rsidR="00E055B1" w:rsidRPr="00253C5F">
        <w:rPr>
          <w:i/>
          <w:lang w:val="fr-FR"/>
        </w:rPr>
        <w:t>d’Aguesseau</w:t>
      </w:r>
      <w:r w:rsidR="00E055B1" w:rsidRPr="00253C5F">
        <w:rPr>
          <w:lang w:val="fr-FR"/>
        </w:rPr>
        <w:t xml:space="preserve">, </w:t>
      </w:r>
      <w:r w:rsidR="00EE05B0" w:rsidRPr="00253C5F">
        <w:rPr>
          <w:lang w:val="fr-FR"/>
        </w:rPr>
        <w:t xml:space="preserve">Tome I, </w:t>
      </w:r>
      <w:r w:rsidR="009408A0" w:rsidRPr="00253C5F">
        <w:rPr>
          <w:lang w:val="fr-FR"/>
        </w:rPr>
        <w:t xml:space="preserve">Libraires Associés, </w:t>
      </w:r>
      <w:proofErr w:type="spellStart"/>
      <w:r w:rsidR="009C121D" w:rsidRPr="00253C5F">
        <w:rPr>
          <w:lang w:val="fr-FR"/>
        </w:rPr>
        <w:t>Pari</w:t>
      </w:r>
      <w:r w:rsidR="00C17F4C" w:rsidRPr="00253C5F">
        <w:rPr>
          <w:lang w:val="fr-FR"/>
        </w:rPr>
        <w:t>j</w:t>
      </w:r>
      <w:r w:rsidR="009C121D" w:rsidRPr="00253C5F">
        <w:rPr>
          <w:lang w:val="fr-FR"/>
        </w:rPr>
        <w:t>s</w:t>
      </w:r>
      <w:proofErr w:type="spellEnd"/>
      <w:r w:rsidR="009C121D" w:rsidRPr="00253C5F">
        <w:rPr>
          <w:lang w:val="fr-FR"/>
        </w:rPr>
        <w:t xml:space="preserve">, </w:t>
      </w:r>
      <w:r w:rsidR="009408A0" w:rsidRPr="00253C5F">
        <w:rPr>
          <w:lang w:val="fr-FR"/>
        </w:rPr>
        <w:t>17</w:t>
      </w:r>
      <w:r w:rsidR="00D55A65" w:rsidRPr="00253C5F">
        <w:rPr>
          <w:lang w:val="fr-FR"/>
        </w:rPr>
        <w:t xml:space="preserve">87, </w:t>
      </w:r>
      <w:r w:rsidR="00D10EFA" w:rsidRPr="00253C5F">
        <w:rPr>
          <w:lang w:val="fr-FR"/>
        </w:rPr>
        <w:t>115.</w:t>
      </w:r>
    </w:p>
  </w:footnote>
  <w:footnote w:id="4">
    <w:p w:rsidR="00A36586" w:rsidRDefault="00A36586">
      <w:pPr>
        <w:pStyle w:val="Voetnoottekst"/>
      </w:pPr>
      <w:r>
        <w:rPr>
          <w:rStyle w:val="Voetnootmarkering"/>
        </w:rPr>
        <w:footnoteRef/>
      </w:r>
      <w:r>
        <w:t xml:space="preserve"> Cass. 13 juli 2010</w:t>
      </w:r>
      <w:r w:rsidR="002B767F">
        <w:t xml:space="preserve">, </w:t>
      </w:r>
      <w:r w:rsidR="002B767F" w:rsidRPr="005C2FE3">
        <w:rPr>
          <w:i/>
        </w:rPr>
        <w:t>Arr. Cass.</w:t>
      </w:r>
      <w:r w:rsidR="002B767F">
        <w:t xml:space="preserve">, 2010, 480; zie ook Cass. 9 juni 2004, </w:t>
      </w:r>
      <w:r w:rsidR="002B767F" w:rsidRPr="005C2FE3">
        <w:rPr>
          <w:i/>
        </w:rPr>
        <w:t>Arr. Cass.</w:t>
      </w:r>
      <w:r w:rsidR="002B767F">
        <w:t xml:space="preserve">, </w:t>
      </w:r>
      <w:r w:rsidR="00791351">
        <w:t>2004, 313.</w:t>
      </w:r>
    </w:p>
  </w:footnote>
  <w:footnote w:id="5">
    <w:p w:rsidR="009B4A6D" w:rsidRDefault="009B4A6D">
      <w:pPr>
        <w:pStyle w:val="Voetnoottekst"/>
      </w:pPr>
      <w:r>
        <w:rPr>
          <w:rStyle w:val="Voetnootmarkering"/>
        </w:rPr>
        <w:footnoteRef/>
      </w:r>
      <w:r>
        <w:t xml:space="preserve"> </w:t>
      </w:r>
      <w:proofErr w:type="spellStart"/>
      <w:r w:rsidR="00DB0D10">
        <w:t>Cass</w:t>
      </w:r>
      <w:proofErr w:type="spellEnd"/>
      <w:r w:rsidR="00DB0D10">
        <w:t>.</w:t>
      </w:r>
      <w:r w:rsidR="00D74885" w:rsidRPr="00D74885">
        <w:t xml:space="preserve"> </w:t>
      </w:r>
      <w:r w:rsidR="00D74885">
        <w:t>26 oktober 2017</w:t>
      </w:r>
      <w:r w:rsidR="00DB0D10">
        <w:t xml:space="preserve">, </w:t>
      </w:r>
      <w:hyperlink r:id="rId1" w:history="1">
        <w:r w:rsidR="00DB0D10" w:rsidRPr="00FD43C8">
          <w:rPr>
            <w:rStyle w:val="Hyperlink"/>
          </w:rPr>
          <w:t>www.cass.be</w:t>
        </w:r>
      </w:hyperlink>
      <w:r w:rsidR="00DB0D10">
        <w:t xml:space="preserve">, inz. </w:t>
      </w:r>
      <w:r w:rsidR="00DB0D10" w:rsidRPr="00DB0D10">
        <w:t>C.14.0457.N/1</w:t>
      </w:r>
      <w:r w:rsidR="005C2FE3">
        <w:t xml:space="preserve">. </w:t>
      </w:r>
    </w:p>
  </w:footnote>
  <w:footnote w:id="6">
    <w:p w:rsidR="000E6E1D" w:rsidRDefault="000E6E1D">
      <w:pPr>
        <w:pStyle w:val="Voetnoottekst"/>
      </w:pPr>
      <w:r>
        <w:rPr>
          <w:rStyle w:val="Voetnootmarkering"/>
        </w:rPr>
        <w:footnoteRef/>
      </w:r>
      <w:r>
        <w:t xml:space="preserve"> EHRM, 6 december 2012, </w:t>
      </w:r>
      <w:r w:rsidR="00A804E6" w:rsidRPr="00D74885">
        <w:rPr>
          <w:i/>
        </w:rPr>
        <w:t>Michaud t. Frankrijk</w:t>
      </w:r>
      <w:r w:rsidR="00A804E6">
        <w:t>,</w:t>
      </w:r>
      <w:r w:rsidR="00E02203">
        <w:t xml:space="preserve"> zaak nr. </w:t>
      </w:r>
      <w:r w:rsidR="00E02203" w:rsidRPr="00E02203">
        <w:t>12323/11</w:t>
      </w:r>
      <w:r w:rsidR="00E02203">
        <w:t xml:space="preserve">, </w:t>
      </w:r>
      <w:r w:rsidR="00A804E6">
        <w:t>par. 123.</w:t>
      </w:r>
    </w:p>
  </w:footnote>
  <w:footnote w:id="7">
    <w:p w:rsidR="00FF6249" w:rsidRPr="00FF6249" w:rsidRDefault="00FF6249">
      <w:pPr>
        <w:pStyle w:val="Voetnoottekst"/>
      </w:pPr>
      <w:r>
        <w:rPr>
          <w:rStyle w:val="Voetnootmarkering"/>
        </w:rPr>
        <w:footnoteRef/>
      </w:r>
      <w:r>
        <w:t xml:space="preserve"> Wet </w:t>
      </w:r>
      <w:r w:rsidRPr="00FF6249">
        <w:rPr>
          <w:i/>
        </w:rPr>
        <w:t>tot voorkoming van het witwassen van geld en de financiering van terrorisme en tot beperking van het gebruik van contanten</w:t>
      </w:r>
      <w:r w:rsidRPr="00FF6249">
        <w:t>”, thans de wet van 18 september 2017, daarvóór de wet van 11 januari 1993</w:t>
      </w:r>
      <w:r>
        <w:t>.</w:t>
      </w:r>
    </w:p>
  </w:footnote>
  <w:footnote w:id="8">
    <w:p w:rsidR="00817286" w:rsidRDefault="00817286">
      <w:pPr>
        <w:pStyle w:val="Voetnoottekst"/>
      </w:pPr>
      <w:r>
        <w:rPr>
          <w:rStyle w:val="Voetnootmarkering"/>
        </w:rPr>
        <w:footnoteRef/>
      </w:r>
      <w:r>
        <w:t xml:space="preserve"> Grondwettelijk Hof, </w:t>
      </w:r>
      <w:r w:rsidR="002B72E6">
        <w:t>10 juli 2008, nr. 102/2008</w:t>
      </w:r>
      <w:r w:rsidR="00EC6FD3">
        <w:t>, par. B.9.</w:t>
      </w:r>
    </w:p>
  </w:footnote>
  <w:footnote w:id="9">
    <w:p w:rsidR="00BA3F25" w:rsidRPr="00ED0BF8" w:rsidRDefault="00BA3F25">
      <w:pPr>
        <w:pStyle w:val="Voetnoottekst"/>
        <w:rPr>
          <w:lang w:val="en-GB"/>
        </w:rPr>
      </w:pPr>
      <w:r>
        <w:rPr>
          <w:rStyle w:val="Voetnootmarkering"/>
        </w:rPr>
        <w:footnoteRef/>
      </w:r>
      <w:r>
        <w:t xml:space="preserve"> </w:t>
      </w:r>
      <w:r w:rsidR="00F55390">
        <w:t xml:space="preserve">Grondwettelijk Hof, </w:t>
      </w:r>
      <w:r w:rsidR="00711444">
        <w:t>23 januari</w:t>
      </w:r>
      <w:r w:rsidR="00F55390">
        <w:t xml:space="preserve"> 2008, nr. 10/2008</w:t>
      </w:r>
      <w:r w:rsidR="00651635">
        <w:t xml:space="preserve">, </w:t>
      </w:r>
      <w:r w:rsidR="00EC6FD3">
        <w:t>par.</w:t>
      </w:r>
      <w:r w:rsidR="00651635">
        <w:t xml:space="preserve"> B.9.5</w:t>
      </w:r>
      <w:r w:rsidR="00817A2E">
        <w:t xml:space="preserve">; zie ook </w:t>
      </w:r>
      <w:r w:rsidR="00817A2E" w:rsidRPr="00817A2E">
        <w:t>Grondwettelijk  Hof</w:t>
      </w:r>
      <w:r w:rsidR="00D91EE3">
        <w:t xml:space="preserve">, </w:t>
      </w:r>
      <w:r w:rsidR="00D91EE3" w:rsidRPr="00D91EE3">
        <w:t>26 september 2013</w:t>
      </w:r>
      <w:r w:rsidR="0083292D">
        <w:t>,</w:t>
      </w:r>
      <w:r w:rsidR="00817A2E" w:rsidRPr="00817A2E">
        <w:t xml:space="preserve">  nr. 127/2103,  </w:t>
      </w:r>
      <w:r w:rsidR="0083292D">
        <w:t>par.</w:t>
      </w:r>
      <w:r w:rsidR="00817A2E" w:rsidRPr="00817A2E">
        <w:t xml:space="preserve"> </w:t>
      </w:r>
      <w:r w:rsidR="00817A2E" w:rsidRPr="00ED0BF8">
        <w:rPr>
          <w:lang w:val="en-GB"/>
        </w:rPr>
        <w:t>B.3.1</w:t>
      </w:r>
      <w:r w:rsidR="0083292D" w:rsidRPr="00ED0BF8">
        <w:rPr>
          <w:lang w:val="en-GB"/>
        </w:rPr>
        <w:t xml:space="preserve"> </w:t>
      </w:r>
      <w:proofErr w:type="spellStart"/>
      <w:r w:rsidR="0083292D" w:rsidRPr="00ED0BF8">
        <w:rPr>
          <w:lang w:val="en-GB"/>
        </w:rPr>
        <w:t>en</w:t>
      </w:r>
      <w:proofErr w:type="spellEnd"/>
      <w:r w:rsidR="0083292D" w:rsidRPr="00ED0BF8">
        <w:rPr>
          <w:lang w:val="en-GB"/>
        </w:rPr>
        <w:t xml:space="preserve"> </w:t>
      </w:r>
      <w:r w:rsidR="009466A7" w:rsidRPr="00ED0BF8">
        <w:rPr>
          <w:lang w:val="en-GB"/>
        </w:rPr>
        <w:t>B.29.1.</w:t>
      </w:r>
    </w:p>
  </w:footnote>
  <w:footnote w:id="10">
    <w:p w:rsidR="00FD690D" w:rsidRPr="00ED0BF8" w:rsidRDefault="00FD690D">
      <w:pPr>
        <w:pStyle w:val="Voetnoottekst"/>
        <w:rPr>
          <w:lang w:val="en-GB"/>
        </w:rPr>
      </w:pPr>
      <w:r>
        <w:rPr>
          <w:rStyle w:val="Voetnootmarkering"/>
        </w:rPr>
        <w:footnoteRef/>
      </w:r>
      <w:r w:rsidRPr="00ED0BF8">
        <w:rPr>
          <w:lang w:val="en-GB"/>
        </w:rPr>
        <w:t xml:space="preserve"> In art. 19, §1. </w:t>
      </w:r>
    </w:p>
  </w:footnote>
  <w:footnote w:id="11">
    <w:p w:rsidR="004D34C6" w:rsidRPr="00ED0BF8" w:rsidRDefault="004D34C6">
      <w:pPr>
        <w:pStyle w:val="Voetnoottekst"/>
        <w:rPr>
          <w:lang w:val="en-GB"/>
        </w:rPr>
      </w:pPr>
      <w:r>
        <w:rPr>
          <w:rStyle w:val="Voetnootmarkering"/>
        </w:rPr>
        <w:footnoteRef/>
      </w:r>
      <w:r w:rsidRPr="00ED0BF8">
        <w:rPr>
          <w:lang w:val="en-GB"/>
        </w:rPr>
        <w:t xml:space="preserve"> In art. X+13. </w:t>
      </w:r>
    </w:p>
  </w:footnote>
  <w:footnote w:id="12">
    <w:p w:rsidR="00330C39" w:rsidRPr="00ED0BF8" w:rsidRDefault="00330C39">
      <w:pPr>
        <w:pStyle w:val="Voetnoottekst"/>
        <w:rPr>
          <w:lang w:val="en-GB"/>
        </w:rPr>
      </w:pPr>
      <w:r>
        <w:rPr>
          <w:rStyle w:val="Voetnootmarkering"/>
        </w:rPr>
        <w:footnoteRef/>
      </w:r>
      <w:r w:rsidRPr="00ED0BF8">
        <w:rPr>
          <w:lang w:val="en-GB"/>
        </w:rPr>
        <w:t xml:space="preserve"> </w:t>
      </w:r>
      <w:r w:rsidR="0054307A" w:rsidRPr="00ED0BF8">
        <w:rPr>
          <w:lang w:val="en-GB"/>
        </w:rPr>
        <w:t>“</w:t>
      </w:r>
      <w:proofErr w:type="spellStart"/>
      <w:r w:rsidR="0054307A" w:rsidRPr="00ED0BF8">
        <w:rPr>
          <w:i/>
          <w:lang w:val="en-GB"/>
        </w:rPr>
        <w:t>Quand</w:t>
      </w:r>
      <w:proofErr w:type="spellEnd"/>
      <w:r w:rsidR="0054307A" w:rsidRPr="00ED0BF8">
        <w:rPr>
          <w:i/>
          <w:lang w:val="en-GB"/>
        </w:rPr>
        <w:t xml:space="preserve"> </w:t>
      </w:r>
      <w:proofErr w:type="spellStart"/>
      <w:r w:rsidR="0054307A" w:rsidRPr="00ED0BF8">
        <w:rPr>
          <w:i/>
          <w:lang w:val="en-GB"/>
        </w:rPr>
        <w:t>l’imbécile</w:t>
      </w:r>
      <w:proofErr w:type="spellEnd"/>
      <w:r w:rsidR="0054307A" w:rsidRPr="00ED0BF8">
        <w:rPr>
          <w:i/>
          <w:lang w:val="en-GB"/>
        </w:rPr>
        <w:t xml:space="preserve"> </w:t>
      </w:r>
      <w:proofErr w:type="spellStart"/>
      <w:r w:rsidR="0054307A" w:rsidRPr="00ED0BF8">
        <w:rPr>
          <w:i/>
          <w:lang w:val="en-GB"/>
        </w:rPr>
        <w:t>montre</w:t>
      </w:r>
      <w:proofErr w:type="spellEnd"/>
      <w:r w:rsidR="0054307A" w:rsidRPr="00ED0BF8">
        <w:rPr>
          <w:i/>
          <w:lang w:val="en-GB"/>
        </w:rPr>
        <w:t xml:space="preserve"> la Lune…</w:t>
      </w:r>
      <w:r w:rsidR="0054307A" w:rsidRPr="00ED0BF8">
        <w:rPr>
          <w:lang w:val="en-GB"/>
        </w:rPr>
        <w:t xml:space="preserve">” in </w:t>
      </w:r>
      <w:r w:rsidR="00974A3B" w:rsidRPr="00ED0BF8">
        <w:rPr>
          <w:lang w:val="en-GB"/>
        </w:rPr>
        <w:t xml:space="preserve">R. ENTHOVEN, </w:t>
      </w:r>
      <w:r w:rsidR="00974A3B" w:rsidRPr="00ED0BF8">
        <w:rPr>
          <w:i/>
          <w:lang w:val="en-GB"/>
        </w:rPr>
        <w:t>Little Brother</w:t>
      </w:r>
      <w:r w:rsidR="00974A3B" w:rsidRPr="00ED0BF8">
        <w:rPr>
          <w:lang w:val="en-GB"/>
        </w:rPr>
        <w:t xml:space="preserve">, NRF, Gallimard, </w:t>
      </w:r>
      <w:proofErr w:type="spellStart"/>
      <w:r w:rsidR="00974A3B" w:rsidRPr="00ED0BF8">
        <w:rPr>
          <w:lang w:val="en-GB"/>
        </w:rPr>
        <w:t>Parijs</w:t>
      </w:r>
      <w:proofErr w:type="spellEnd"/>
      <w:r w:rsidR="00974A3B" w:rsidRPr="00ED0BF8">
        <w:rPr>
          <w:lang w:val="en-GB"/>
        </w:rPr>
        <w:t xml:space="preserve">, </w:t>
      </w:r>
      <w:r w:rsidR="00C61734" w:rsidRPr="00ED0BF8">
        <w:rPr>
          <w:lang w:val="en-GB"/>
        </w:rPr>
        <w:t xml:space="preserve">2017, </w:t>
      </w:r>
      <w:r w:rsidR="0062104B" w:rsidRPr="00ED0BF8">
        <w:rPr>
          <w:lang w:val="en-GB"/>
        </w:rPr>
        <w:t>109.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218D"/>
    <w:multiLevelType w:val="hybridMultilevel"/>
    <w:tmpl w:val="CDA6D56A"/>
    <w:lvl w:ilvl="0" w:tplc="FFFFFFF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52901255"/>
    <w:multiLevelType w:val="hybridMultilevel"/>
    <w:tmpl w:val="0EAAF5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FF6"/>
    <w:rsid w:val="0000593F"/>
    <w:rsid w:val="00007CF3"/>
    <w:rsid w:val="0001055B"/>
    <w:rsid w:val="00011498"/>
    <w:rsid w:val="000227B6"/>
    <w:rsid w:val="00023CA8"/>
    <w:rsid w:val="0004006F"/>
    <w:rsid w:val="00040FF4"/>
    <w:rsid w:val="00042913"/>
    <w:rsid w:val="00046131"/>
    <w:rsid w:val="00055E5A"/>
    <w:rsid w:val="00060271"/>
    <w:rsid w:val="00060D80"/>
    <w:rsid w:val="000670A3"/>
    <w:rsid w:val="0007489F"/>
    <w:rsid w:val="00076E45"/>
    <w:rsid w:val="000800C3"/>
    <w:rsid w:val="0009048C"/>
    <w:rsid w:val="000A5196"/>
    <w:rsid w:val="000B1C93"/>
    <w:rsid w:val="000B2B55"/>
    <w:rsid w:val="000C35E3"/>
    <w:rsid w:val="000C6B5A"/>
    <w:rsid w:val="000D11F2"/>
    <w:rsid w:val="000D45A5"/>
    <w:rsid w:val="000E02F5"/>
    <w:rsid w:val="000E18F2"/>
    <w:rsid w:val="000E381D"/>
    <w:rsid w:val="000E4AF7"/>
    <w:rsid w:val="000E6E1D"/>
    <w:rsid w:val="000F0A12"/>
    <w:rsid w:val="000F11F5"/>
    <w:rsid w:val="000F4E57"/>
    <w:rsid w:val="00121DDD"/>
    <w:rsid w:val="00124B87"/>
    <w:rsid w:val="00130224"/>
    <w:rsid w:val="001372DA"/>
    <w:rsid w:val="00142334"/>
    <w:rsid w:val="00155FF8"/>
    <w:rsid w:val="00165FD8"/>
    <w:rsid w:val="00176BC8"/>
    <w:rsid w:val="0018404F"/>
    <w:rsid w:val="00194405"/>
    <w:rsid w:val="001A4558"/>
    <w:rsid w:val="001B02E2"/>
    <w:rsid w:val="001B5176"/>
    <w:rsid w:val="001B682F"/>
    <w:rsid w:val="001B7467"/>
    <w:rsid w:val="001E0D4C"/>
    <w:rsid w:val="001E2184"/>
    <w:rsid w:val="001F4214"/>
    <w:rsid w:val="001F73E5"/>
    <w:rsid w:val="00201BEE"/>
    <w:rsid w:val="00211882"/>
    <w:rsid w:val="00233E35"/>
    <w:rsid w:val="00240E5C"/>
    <w:rsid w:val="00247DBE"/>
    <w:rsid w:val="002528F3"/>
    <w:rsid w:val="00253C5F"/>
    <w:rsid w:val="00261C99"/>
    <w:rsid w:val="00262FE4"/>
    <w:rsid w:val="00274BC8"/>
    <w:rsid w:val="002811EC"/>
    <w:rsid w:val="00293142"/>
    <w:rsid w:val="00296955"/>
    <w:rsid w:val="002A3E6E"/>
    <w:rsid w:val="002A61FB"/>
    <w:rsid w:val="002B72E6"/>
    <w:rsid w:val="002B767F"/>
    <w:rsid w:val="002C24CE"/>
    <w:rsid w:val="002C73DD"/>
    <w:rsid w:val="002C7A5A"/>
    <w:rsid w:val="002D4874"/>
    <w:rsid w:val="002D6474"/>
    <w:rsid w:val="002D776A"/>
    <w:rsid w:val="002E76F5"/>
    <w:rsid w:val="002F2BDB"/>
    <w:rsid w:val="002F7CB7"/>
    <w:rsid w:val="00307F4C"/>
    <w:rsid w:val="003120DE"/>
    <w:rsid w:val="0032607A"/>
    <w:rsid w:val="0032658F"/>
    <w:rsid w:val="00330C39"/>
    <w:rsid w:val="00334F11"/>
    <w:rsid w:val="003429D7"/>
    <w:rsid w:val="00344C15"/>
    <w:rsid w:val="003558E1"/>
    <w:rsid w:val="003574DA"/>
    <w:rsid w:val="0036738F"/>
    <w:rsid w:val="00374298"/>
    <w:rsid w:val="003872E4"/>
    <w:rsid w:val="00387C1B"/>
    <w:rsid w:val="003A1C0C"/>
    <w:rsid w:val="003A2A36"/>
    <w:rsid w:val="003A2CCC"/>
    <w:rsid w:val="003A656F"/>
    <w:rsid w:val="003B3ED7"/>
    <w:rsid w:val="003C0E82"/>
    <w:rsid w:val="003D5A6F"/>
    <w:rsid w:val="003E4133"/>
    <w:rsid w:val="003F0510"/>
    <w:rsid w:val="003F261B"/>
    <w:rsid w:val="003F4EC6"/>
    <w:rsid w:val="003F71C5"/>
    <w:rsid w:val="0040110F"/>
    <w:rsid w:val="00401951"/>
    <w:rsid w:val="0041139F"/>
    <w:rsid w:val="00413242"/>
    <w:rsid w:val="004165AB"/>
    <w:rsid w:val="0042116F"/>
    <w:rsid w:val="004262B6"/>
    <w:rsid w:val="00434A7F"/>
    <w:rsid w:val="004417B6"/>
    <w:rsid w:val="004466E3"/>
    <w:rsid w:val="00451538"/>
    <w:rsid w:val="00463CE6"/>
    <w:rsid w:val="00467C5E"/>
    <w:rsid w:val="0047392B"/>
    <w:rsid w:val="004924AD"/>
    <w:rsid w:val="00492DAE"/>
    <w:rsid w:val="004A2CE9"/>
    <w:rsid w:val="004A4B1D"/>
    <w:rsid w:val="004B074E"/>
    <w:rsid w:val="004C41A3"/>
    <w:rsid w:val="004D2C87"/>
    <w:rsid w:val="004D34C6"/>
    <w:rsid w:val="004D5514"/>
    <w:rsid w:val="004E5F1D"/>
    <w:rsid w:val="004F230A"/>
    <w:rsid w:val="00502C84"/>
    <w:rsid w:val="00511B3A"/>
    <w:rsid w:val="00516F9B"/>
    <w:rsid w:val="00517C57"/>
    <w:rsid w:val="00522192"/>
    <w:rsid w:val="0054307A"/>
    <w:rsid w:val="00544976"/>
    <w:rsid w:val="005455EC"/>
    <w:rsid w:val="0054725B"/>
    <w:rsid w:val="0054757B"/>
    <w:rsid w:val="00550967"/>
    <w:rsid w:val="00552364"/>
    <w:rsid w:val="00560B0B"/>
    <w:rsid w:val="00560D16"/>
    <w:rsid w:val="00563EAE"/>
    <w:rsid w:val="00564617"/>
    <w:rsid w:val="00567424"/>
    <w:rsid w:val="00567CCA"/>
    <w:rsid w:val="00574770"/>
    <w:rsid w:val="00577A52"/>
    <w:rsid w:val="00577FF6"/>
    <w:rsid w:val="005857A6"/>
    <w:rsid w:val="005876B2"/>
    <w:rsid w:val="005909C6"/>
    <w:rsid w:val="005B40F2"/>
    <w:rsid w:val="005B6074"/>
    <w:rsid w:val="005C21A0"/>
    <w:rsid w:val="005C2FE3"/>
    <w:rsid w:val="005E3962"/>
    <w:rsid w:val="005F539F"/>
    <w:rsid w:val="005F643A"/>
    <w:rsid w:val="00602533"/>
    <w:rsid w:val="00611CC6"/>
    <w:rsid w:val="00613B9E"/>
    <w:rsid w:val="0062104B"/>
    <w:rsid w:val="00621E6C"/>
    <w:rsid w:val="006248A8"/>
    <w:rsid w:val="00626F5A"/>
    <w:rsid w:val="00627951"/>
    <w:rsid w:val="0065089E"/>
    <w:rsid w:val="00651635"/>
    <w:rsid w:val="00657D51"/>
    <w:rsid w:val="00672F57"/>
    <w:rsid w:val="00676EFC"/>
    <w:rsid w:val="006825F3"/>
    <w:rsid w:val="0068281A"/>
    <w:rsid w:val="00682881"/>
    <w:rsid w:val="00693A17"/>
    <w:rsid w:val="00695B95"/>
    <w:rsid w:val="006961C7"/>
    <w:rsid w:val="006A7F7E"/>
    <w:rsid w:val="006C2F0A"/>
    <w:rsid w:val="006D3520"/>
    <w:rsid w:val="006D6758"/>
    <w:rsid w:val="006D7080"/>
    <w:rsid w:val="006E0E01"/>
    <w:rsid w:val="006E6778"/>
    <w:rsid w:val="006F7EE3"/>
    <w:rsid w:val="0070763D"/>
    <w:rsid w:val="007108C8"/>
    <w:rsid w:val="00711444"/>
    <w:rsid w:val="00722BA5"/>
    <w:rsid w:val="00726D8D"/>
    <w:rsid w:val="00731107"/>
    <w:rsid w:val="00733548"/>
    <w:rsid w:val="00743CCD"/>
    <w:rsid w:val="007453B9"/>
    <w:rsid w:val="00747370"/>
    <w:rsid w:val="00761CEA"/>
    <w:rsid w:val="00774EDA"/>
    <w:rsid w:val="00777D03"/>
    <w:rsid w:val="0078622A"/>
    <w:rsid w:val="007903D1"/>
    <w:rsid w:val="0079101F"/>
    <w:rsid w:val="00791351"/>
    <w:rsid w:val="00791876"/>
    <w:rsid w:val="007921C6"/>
    <w:rsid w:val="00793B47"/>
    <w:rsid w:val="00795CD1"/>
    <w:rsid w:val="007B67A9"/>
    <w:rsid w:val="007C0C8B"/>
    <w:rsid w:val="007C11DE"/>
    <w:rsid w:val="007D7A65"/>
    <w:rsid w:val="007E013D"/>
    <w:rsid w:val="007E0A50"/>
    <w:rsid w:val="007F09DA"/>
    <w:rsid w:val="007F0AE4"/>
    <w:rsid w:val="007F7581"/>
    <w:rsid w:val="008048BB"/>
    <w:rsid w:val="00817286"/>
    <w:rsid w:val="00817A2E"/>
    <w:rsid w:val="0082148E"/>
    <w:rsid w:val="008308A7"/>
    <w:rsid w:val="0083292D"/>
    <w:rsid w:val="0084169C"/>
    <w:rsid w:val="00843EE2"/>
    <w:rsid w:val="00844C28"/>
    <w:rsid w:val="00857286"/>
    <w:rsid w:val="00860045"/>
    <w:rsid w:val="0086688C"/>
    <w:rsid w:val="008679C5"/>
    <w:rsid w:val="008856D9"/>
    <w:rsid w:val="00892CE5"/>
    <w:rsid w:val="00897B54"/>
    <w:rsid w:val="008A6DE1"/>
    <w:rsid w:val="008B630B"/>
    <w:rsid w:val="008B746A"/>
    <w:rsid w:val="008C011D"/>
    <w:rsid w:val="008D1143"/>
    <w:rsid w:val="008D47EA"/>
    <w:rsid w:val="008E5460"/>
    <w:rsid w:val="008E7375"/>
    <w:rsid w:val="008F1968"/>
    <w:rsid w:val="008F3091"/>
    <w:rsid w:val="008F4A76"/>
    <w:rsid w:val="00900B1C"/>
    <w:rsid w:val="00905113"/>
    <w:rsid w:val="009061F1"/>
    <w:rsid w:val="00910163"/>
    <w:rsid w:val="00915B65"/>
    <w:rsid w:val="00924EFC"/>
    <w:rsid w:val="00927F34"/>
    <w:rsid w:val="00934319"/>
    <w:rsid w:val="0093626F"/>
    <w:rsid w:val="00936B2A"/>
    <w:rsid w:val="00937803"/>
    <w:rsid w:val="009408A0"/>
    <w:rsid w:val="0094131C"/>
    <w:rsid w:val="0094519A"/>
    <w:rsid w:val="009466A7"/>
    <w:rsid w:val="00962828"/>
    <w:rsid w:val="009716BC"/>
    <w:rsid w:val="00974380"/>
    <w:rsid w:val="00974A3B"/>
    <w:rsid w:val="009855D0"/>
    <w:rsid w:val="00986DCC"/>
    <w:rsid w:val="0099391A"/>
    <w:rsid w:val="0099581C"/>
    <w:rsid w:val="009B1DD4"/>
    <w:rsid w:val="009B4A6D"/>
    <w:rsid w:val="009C121D"/>
    <w:rsid w:val="009C70C9"/>
    <w:rsid w:val="009E4B19"/>
    <w:rsid w:val="009E67ED"/>
    <w:rsid w:val="009F7A14"/>
    <w:rsid w:val="00A1091D"/>
    <w:rsid w:val="00A11788"/>
    <w:rsid w:val="00A12C0F"/>
    <w:rsid w:val="00A1525A"/>
    <w:rsid w:val="00A22FAB"/>
    <w:rsid w:val="00A36028"/>
    <w:rsid w:val="00A36586"/>
    <w:rsid w:val="00A37CEA"/>
    <w:rsid w:val="00A478F8"/>
    <w:rsid w:val="00A53C10"/>
    <w:rsid w:val="00A56CC8"/>
    <w:rsid w:val="00A602BE"/>
    <w:rsid w:val="00A61B2F"/>
    <w:rsid w:val="00A62B9D"/>
    <w:rsid w:val="00A667E8"/>
    <w:rsid w:val="00A6698E"/>
    <w:rsid w:val="00A66AF5"/>
    <w:rsid w:val="00A67FB8"/>
    <w:rsid w:val="00A72480"/>
    <w:rsid w:val="00A72558"/>
    <w:rsid w:val="00A72F77"/>
    <w:rsid w:val="00A804E6"/>
    <w:rsid w:val="00A84180"/>
    <w:rsid w:val="00A86B3B"/>
    <w:rsid w:val="00A95D4D"/>
    <w:rsid w:val="00AA0EB3"/>
    <w:rsid w:val="00AA343B"/>
    <w:rsid w:val="00AA4682"/>
    <w:rsid w:val="00AB4720"/>
    <w:rsid w:val="00AB6F9C"/>
    <w:rsid w:val="00AB7B31"/>
    <w:rsid w:val="00AD57D4"/>
    <w:rsid w:val="00AD653C"/>
    <w:rsid w:val="00AE287C"/>
    <w:rsid w:val="00AE2B11"/>
    <w:rsid w:val="00AE4C00"/>
    <w:rsid w:val="00AF354B"/>
    <w:rsid w:val="00AF387F"/>
    <w:rsid w:val="00AF544F"/>
    <w:rsid w:val="00B0357D"/>
    <w:rsid w:val="00B06904"/>
    <w:rsid w:val="00B121E4"/>
    <w:rsid w:val="00B1335C"/>
    <w:rsid w:val="00B20460"/>
    <w:rsid w:val="00B227C8"/>
    <w:rsid w:val="00B3132E"/>
    <w:rsid w:val="00B44408"/>
    <w:rsid w:val="00B44449"/>
    <w:rsid w:val="00B4581D"/>
    <w:rsid w:val="00B540DB"/>
    <w:rsid w:val="00B605D1"/>
    <w:rsid w:val="00B65446"/>
    <w:rsid w:val="00B72312"/>
    <w:rsid w:val="00B834C1"/>
    <w:rsid w:val="00B838A8"/>
    <w:rsid w:val="00B937CC"/>
    <w:rsid w:val="00BA3F25"/>
    <w:rsid w:val="00BB096C"/>
    <w:rsid w:val="00BB26E5"/>
    <w:rsid w:val="00BB61BE"/>
    <w:rsid w:val="00BD067B"/>
    <w:rsid w:val="00BD095C"/>
    <w:rsid w:val="00BD0B61"/>
    <w:rsid w:val="00BE03B2"/>
    <w:rsid w:val="00BE5559"/>
    <w:rsid w:val="00BE73CC"/>
    <w:rsid w:val="00BF6D98"/>
    <w:rsid w:val="00C0154C"/>
    <w:rsid w:val="00C027BC"/>
    <w:rsid w:val="00C03C89"/>
    <w:rsid w:val="00C06232"/>
    <w:rsid w:val="00C1400D"/>
    <w:rsid w:val="00C16EAA"/>
    <w:rsid w:val="00C17F4C"/>
    <w:rsid w:val="00C22C5D"/>
    <w:rsid w:val="00C25FDD"/>
    <w:rsid w:val="00C26FBB"/>
    <w:rsid w:val="00C27A47"/>
    <w:rsid w:val="00C30199"/>
    <w:rsid w:val="00C3220D"/>
    <w:rsid w:val="00C43496"/>
    <w:rsid w:val="00C43F65"/>
    <w:rsid w:val="00C476CC"/>
    <w:rsid w:val="00C50DF2"/>
    <w:rsid w:val="00C53601"/>
    <w:rsid w:val="00C57B91"/>
    <w:rsid w:val="00C60877"/>
    <w:rsid w:val="00C61734"/>
    <w:rsid w:val="00C736FB"/>
    <w:rsid w:val="00C80E1B"/>
    <w:rsid w:val="00C87A0F"/>
    <w:rsid w:val="00C91DED"/>
    <w:rsid w:val="00CA0A4F"/>
    <w:rsid w:val="00CA10CE"/>
    <w:rsid w:val="00CA1FFC"/>
    <w:rsid w:val="00CB210A"/>
    <w:rsid w:val="00CB2495"/>
    <w:rsid w:val="00CB4075"/>
    <w:rsid w:val="00CC1EF4"/>
    <w:rsid w:val="00CC2ED7"/>
    <w:rsid w:val="00CC3367"/>
    <w:rsid w:val="00CC632B"/>
    <w:rsid w:val="00CE3F03"/>
    <w:rsid w:val="00CE7D85"/>
    <w:rsid w:val="00CF2662"/>
    <w:rsid w:val="00D0503A"/>
    <w:rsid w:val="00D10DC8"/>
    <w:rsid w:val="00D10EFA"/>
    <w:rsid w:val="00D1367C"/>
    <w:rsid w:val="00D144AA"/>
    <w:rsid w:val="00D32921"/>
    <w:rsid w:val="00D36291"/>
    <w:rsid w:val="00D46556"/>
    <w:rsid w:val="00D47BEE"/>
    <w:rsid w:val="00D55A65"/>
    <w:rsid w:val="00D57C58"/>
    <w:rsid w:val="00D71F01"/>
    <w:rsid w:val="00D74885"/>
    <w:rsid w:val="00D75186"/>
    <w:rsid w:val="00D8279D"/>
    <w:rsid w:val="00D82A1F"/>
    <w:rsid w:val="00D83435"/>
    <w:rsid w:val="00D91EE3"/>
    <w:rsid w:val="00D960C9"/>
    <w:rsid w:val="00DA2BF6"/>
    <w:rsid w:val="00DA4773"/>
    <w:rsid w:val="00DA5060"/>
    <w:rsid w:val="00DB0D10"/>
    <w:rsid w:val="00DB0EFC"/>
    <w:rsid w:val="00DB1DF5"/>
    <w:rsid w:val="00DC4CCB"/>
    <w:rsid w:val="00DD744C"/>
    <w:rsid w:val="00DE4C99"/>
    <w:rsid w:val="00DE7C75"/>
    <w:rsid w:val="00DF45F8"/>
    <w:rsid w:val="00DF6B2C"/>
    <w:rsid w:val="00E005DF"/>
    <w:rsid w:val="00E02203"/>
    <w:rsid w:val="00E03197"/>
    <w:rsid w:val="00E055B1"/>
    <w:rsid w:val="00E338F8"/>
    <w:rsid w:val="00E41CCB"/>
    <w:rsid w:val="00E4681A"/>
    <w:rsid w:val="00E61CAB"/>
    <w:rsid w:val="00E64A67"/>
    <w:rsid w:val="00E67685"/>
    <w:rsid w:val="00E850BE"/>
    <w:rsid w:val="00E9077E"/>
    <w:rsid w:val="00EA5685"/>
    <w:rsid w:val="00EA6CAC"/>
    <w:rsid w:val="00EB6730"/>
    <w:rsid w:val="00EC2174"/>
    <w:rsid w:val="00EC3A73"/>
    <w:rsid w:val="00EC6FD3"/>
    <w:rsid w:val="00ED0BF8"/>
    <w:rsid w:val="00EE05B0"/>
    <w:rsid w:val="00EE55C9"/>
    <w:rsid w:val="00EF0101"/>
    <w:rsid w:val="00EF245C"/>
    <w:rsid w:val="00F12D3F"/>
    <w:rsid w:val="00F20489"/>
    <w:rsid w:val="00F4140A"/>
    <w:rsid w:val="00F52086"/>
    <w:rsid w:val="00F530DB"/>
    <w:rsid w:val="00F55390"/>
    <w:rsid w:val="00F561EA"/>
    <w:rsid w:val="00F70141"/>
    <w:rsid w:val="00F70D8E"/>
    <w:rsid w:val="00F71E5C"/>
    <w:rsid w:val="00F73474"/>
    <w:rsid w:val="00F90201"/>
    <w:rsid w:val="00F93438"/>
    <w:rsid w:val="00FA1B16"/>
    <w:rsid w:val="00FA52BB"/>
    <w:rsid w:val="00FB03F9"/>
    <w:rsid w:val="00FB23BE"/>
    <w:rsid w:val="00FD051D"/>
    <w:rsid w:val="00FD690D"/>
    <w:rsid w:val="00FF33B8"/>
    <w:rsid w:val="00FF4A82"/>
    <w:rsid w:val="00FF624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7278F"/>
  <w15:chartTrackingRefBased/>
  <w15:docId w15:val="{26CC6309-0676-AF45-B2EB-D02B95578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03197"/>
    <w:pPr>
      <w:ind w:left="720"/>
      <w:contextualSpacing/>
    </w:pPr>
  </w:style>
  <w:style w:type="paragraph" w:styleId="Koptekst">
    <w:name w:val="header"/>
    <w:basedOn w:val="Standaard"/>
    <w:link w:val="KoptekstChar"/>
    <w:uiPriority w:val="99"/>
    <w:unhideWhenUsed/>
    <w:rsid w:val="007B67A9"/>
    <w:pPr>
      <w:tabs>
        <w:tab w:val="center" w:pos="4536"/>
        <w:tab w:val="right" w:pos="9072"/>
      </w:tabs>
    </w:pPr>
  </w:style>
  <w:style w:type="character" w:customStyle="1" w:styleId="KoptekstChar">
    <w:name w:val="Koptekst Char"/>
    <w:basedOn w:val="Standaardalinea-lettertype"/>
    <w:link w:val="Koptekst"/>
    <w:uiPriority w:val="99"/>
    <w:rsid w:val="007B67A9"/>
  </w:style>
  <w:style w:type="paragraph" w:styleId="Voettekst">
    <w:name w:val="footer"/>
    <w:basedOn w:val="Standaard"/>
    <w:link w:val="VoettekstChar"/>
    <w:uiPriority w:val="99"/>
    <w:unhideWhenUsed/>
    <w:rsid w:val="007B67A9"/>
    <w:pPr>
      <w:tabs>
        <w:tab w:val="center" w:pos="4536"/>
        <w:tab w:val="right" w:pos="9072"/>
      </w:tabs>
    </w:pPr>
  </w:style>
  <w:style w:type="character" w:customStyle="1" w:styleId="VoettekstChar">
    <w:name w:val="Voettekst Char"/>
    <w:basedOn w:val="Standaardalinea-lettertype"/>
    <w:link w:val="Voettekst"/>
    <w:uiPriority w:val="99"/>
    <w:rsid w:val="007B67A9"/>
  </w:style>
  <w:style w:type="character" w:styleId="Paginanummer">
    <w:name w:val="page number"/>
    <w:basedOn w:val="Standaardalinea-lettertype"/>
    <w:uiPriority w:val="99"/>
    <w:semiHidden/>
    <w:unhideWhenUsed/>
    <w:rsid w:val="007B67A9"/>
  </w:style>
  <w:style w:type="paragraph" w:styleId="Voetnoottekst">
    <w:name w:val="footnote text"/>
    <w:basedOn w:val="Standaard"/>
    <w:link w:val="VoetnoottekstChar"/>
    <w:uiPriority w:val="99"/>
    <w:semiHidden/>
    <w:unhideWhenUsed/>
    <w:rsid w:val="00E9077E"/>
    <w:rPr>
      <w:sz w:val="20"/>
      <w:szCs w:val="20"/>
    </w:rPr>
  </w:style>
  <w:style w:type="character" w:customStyle="1" w:styleId="VoetnoottekstChar">
    <w:name w:val="Voetnoottekst Char"/>
    <w:basedOn w:val="Standaardalinea-lettertype"/>
    <w:link w:val="Voetnoottekst"/>
    <w:uiPriority w:val="99"/>
    <w:semiHidden/>
    <w:rsid w:val="00E9077E"/>
    <w:rPr>
      <w:sz w:val="20"/>
      <w:szCs w:val="20"/>
    </w:rPr>
  </w:style>
  <w:style w:type="character" w:styleId="Voetnootmarkering">
    <w:name w:val="footnote reference"/>
    <w:basedOn w:val="Standaardalinea-lettertype"/>
    <w:uiPriority w:val="99"/>
    <w:semiHidden/>
    <w:unhideWhenUsed/>
    <w:rsid w:val="00E9077E"/>
    <w:rPr>
      <w:vertAlign w:val="superscript"/>
    </w:rPr>
  </w:style>
  <w:style w:type="character" w:styleId="Hyperlink">
    <w:name w:val="Hyperlink"/>
    <w:basedOn w:val="Standaardalinea-lettertype"/>
    <w:uiPriority w:val="99"/>
    <w:unhideWhenUsed/>
    <w:rsid w:val="00DB0D10"/>
    <w:rPr>
      <w:color w:val="0563C1" w:themeColor="hyperlink"/>
      <w:u w:val="single"/>
    </w:rPr>
  </w:style>
  <w:style w:type="character" w:styleId="Onopgelostemelding">
    <w:name w:val="Unresolved Mention"/>
    <w:basedOn w:val="Standaardalinea-lettertype"/>
    <w:uiPriority w:val="99"/>
    <w:semiHidden/>
    <w:unhideWhenUsed/>
    <w:rsid w:val="00DB0D10"/>
    <w:rPr>
      <w:color w:val="605E5C"/>
      <w:shd w:val="clear" w:color="auto" w:fill="E1DFDD"/>
    </w:rPr>
  </w:style>
  <w:style w:type="character" w:styleId="Titelvanboek">
    <w:name w:val="Book Title"/>
    <w:basedOn w:val="Standaardalinea-lettertype"/>
    <w:uiPriority w:val="33"/>
    <w:qFormat/>
    <w:rsid w:val="00007CF3"/>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cass.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512E2-2AD5-48C7-B050-6F017583A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14</Pages>
  <Words>3522</Words>
  <Characters>19372</Characters>
  <Application>Microsoft Office Word</Application>
  <DocSecurity>0</DocSecurity>
  <Lines>161</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Callens</dc:creator>
  <cp:keywords/>
  <dc:description/>
  <cp:lastModifiedBy>Peter Callens</cp:lastModifiedBy>
  <cp:revision>4</cp:revision>
  <cp:lastPrinted>2018-11-22T18:33:00Z</cp:lastPrinted>
  <dcterms:created xsi:type="dcterms:W3CDTF">2018-11-22T18:35:00Z</dcterms:created>
  <dcterms:modified xsi:type="dcterms:W3CDTF">2018-12-20T10:45:00Z</dcterms:modified>
</cp:coreProperties>
</file>